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00000">
      <w:pPr>
        <w:outlineLvl w:val="1"/>
        <w:rPr>
          <w:rFonts w:ascii="Trebuchet MS" w:eastAsia="Times New Roman" w:hAnsi="Trebuchet MS"/>
          <w:b/>
          <w:bCs/>
          <w:color w:val="12386B"/>
          <w:kern w:val="36"/>
          <w:sz w:val="44"/>
          <w:szCs w:val="44"/>
        </w:rPr>
      </w:pPr>
      <w:r>
        <w:rPr>
          <w:rFonts w:ascii="Trebuchet MS" w:eastAsia="Times New Roman" w:hAnsi="Trebuchet MS"/>
          <w:b/>
          <w:bCs/>
          <w:color w:val="12386B"/>
          <w:kern w:val="36"/>
          <w:sz w:val="44"/>
          <w:szCs w:val="44"/>
        </w:rPr>
        <w:t>Vertinimas</w:t>
      </w:r>
    </w:p>
    <w:p w:rsidR="00000000" w:rsidRDefault="00000000">
      <w:pPr>
        <w:pStyle w:val="Heading3"/>
        <w:rPr>
          <w:rFonts w:ascii="Trebuchet MS" w:eastAsia="Times New Roman" w:hAnsi="Trebuchet MS"/>
        </w:rPr>
      </w:pPr>
      <w:r>
        <w:rPr>
          <w:rFonts w:ascii="Trebuchet MS" w:eastAsia="Times New Roman" w:hAnsi="Trebuchet MS"/>
        </w:rPr>
        <w:t>Pradinis ugdymas</w:t>
      </w:r>
      <w:r>
        <w:rPr>
          <w:rFonts w:ascii="Trebuchet MS" w:eastAsia="Times New Roman" w:hAnsi="Trebuchet MS"/>
        </w:rPr>
        <w:br/>
        <w:t>Matematika</w:t>
      </w:r>
      <w:r>
        <w:rPr>
          <w:rFonts w:ascii="Trebuchet MS" w:eastAsia="Times New Roman" w:hAnsi="Trebuchet MS"/>
        </w:rPr>
        <w:br/>
        <w:t>3-4 klasės</w:t>
      </w:r>
    </w:p>
    <w:p w:rsidR="00000000" w:rsidRDefault="00000000">
      <w:pPr>
        <w:divId w:val="1980845231"/>
        <w:rPr>
          <w:rFonts w:ascii="Trebuchet MS" w:eastAsia="Times New Roman" w:hAnsi="Trebuchet MS"/>
        </w:rPr>
      </w:pPr>
      <w:r>
        <w:rPr>
          <w:rFonts w:ascii="Trebuchet MS" w:eastAsia="Times New Roman" w:hAnsi="Trebuchet MS"/>
          <w:b/>
          <w:bCs/>
        </w:rPr>
        <w:t>21.7.3. Vertinimas</w:t>
      </w:r>
    </w:p>
    <w:p w:rsidR="00000000" w:rsidRDefault="00000000">
      <w:pPr>
        <w:divId w:val="59720119"/>
        <w:rPr>
          <w:rFonts w:ascii="Trebuchet MS" w:eastAsia="Times New Roman" w:hAnsi="Trebuchet MS"/>
        </w:rPr>
      </w:pPr>
      <w:r>
        <w:rPr>
          <w:rFonts w:ascii="Trebuchet MS" w:eastAsia="Times New Roman" w:hAnsi="Trebuchet MS"/>
        </w:rPr>
        <w:t> </w:t>
      </w:r>
    </w:p>
    <w:p w:rsidR="00000000" w:rsidRDefault="00000000">
      <w:pPr>
        <w:divId w:val="900361932"/>
        <w:rPr>
          <w:rFonts w:ascii="Trebuchet MS" w:eastAsia="Times New Roman" w:hAnsi="Trebuchet MS"/>
        </w:rPr>
      </w:pPr>
      <w:r>
        <w:rPr>
          <w:rFonts w:ascii="Trebuchet MS" w:eastAsia="Times New Roman" w:hAnsi="Trebuchet MS"/>
        </w:rPr>
        <w:t>21.7.3.1. Lentelėje pateiktas trimis lygiais detalizuotas mokinių pasiekimų aprašas. Mokinių pasiekimų lygiai aprašyti išskiriant nuostatas ir pagrindines matematinės veiklos gebėjimų grupes: matematikos žinios ir standartinių procedūrų atlikimas; matematinis komunikavimas; matematinis mąstymas; problemų sprendimas. Bendrųjų gebėjimų vertinimas leidžia pažvelgti į mokinio pasiekimus plačiau ir giliau, atskleisti jo stiprybes ir tobulintinus gebėjimus, įžvelgti mokymosi sėkmės ar nesėkmės priežastis. Remiantis nurodytais mokinių pasiekimų lygių požymiais galima spręsti ir apie tarpinius pasiekimus, ir daryti apibendrinamuosius vertinimo aprašus pusmečio, metų pabaigoje. Jie padės mokytojui spręsti, kiek mokinys jau yra pasiekęs ir ko jis dar turėtų siekti.</w:t>
      </w:r>
    </w:p>
    <w:p w:rsidR="00000000" w:rsidRDefault="00000000">
      <w:pPr>
        <w:pStyle w:val="NormalWeb"/>
        <w:rPr>
          <w:rFonts w:ascii="Trebuchet MS" w:hAnsi="Trebuchet MS"/>
        </w:rPr>
      </w:pPr>
      <w:r>
        <w:rPr>
          <w:rFonts w:ascii="Trebuchet MS" w:hAnsi="Trebuchet MS"/>
        </w:rPr>
        <w:br w:type="textWrapping" w:clear="all"/>
      </w:r>
      <w:r>
        <w:rPr>
          <w:rFonts w:ascii="Trebuchet MS" w:hAnsi="Trebuchet MS"/>
          <w:b/>
          <w:bCs/>
        </w:rPr>
        <w:t>21.7.3.2. Mokinių pasiekimų lygių požymiai. 3–4 klasės</w:t>
      </w:r>
      <w:r>
        <w:rPr>
          <w:rFonts w:ascii="Trebuchet MS" w:hAnsi="Trebuchet M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14"/>
        <w:gridCol w:w="2366"/>
        <w:gridCol w:w="3616"/>
        <w:gridCol w:w="2236"/>
      </w:tblGrid>
      <w:tr w:rsidR="00000000">
        <w:trPr>
          <w:divId w:val="1351105533"/>
        </w:trPr>
        <w:tc>
          <w:tcPr>
            <w:tcW w:w="1815"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1773354191"/>
              <w:rPr>
                <w:rFonts w:ascii="Trebuchet MS" w:eastAsia="Times New Roman" w:hAnsi="Trebuchet MS"/>
              </w:rPr>
            </w:pPr>
            <w:r>
              <w:rPr>
                <w:rFonts w:ascii="Trebuchet MS" w:eastAsia="Times New Roman" w:hAnsi="Trebuchet MS"/>
                <w:b/>
                <w:bCs/>
              </w:rPr>
              <w:t xml:space="preserve">Lygiai/ </w:t>
            </w:r>
          </w:p>
          <w:p w:rsidR="00000000" w:rsidRDefault="00000000">
            <w:pPr>
              <w:jc w:val="center"/>
              <w:divId w:val="2022003053"/>
              <w:rPr>
                <w:rFonts w:ascii="Trebuchet MS" w:eastAsia="Times New Roman" w:hAnsi="Trebuchet MS"/>
              </w:rPr>
            </w:pPr>
            <w:r>
              <w:rPr>
                <w:rFonts w:ascii="Trebuchet MS" w:eastAsia="Times New Roman" w:hAnsi="Trebuchet MS"/>
                <w:b/>
                <w:bCs/>
              </w:rPr>
              <w:t>Pasiekimų sritys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1393770032"/>
              <w:rPr>
                <w:rFonts w:ascii="Trebuchet MS" w:eastAsia="Times New Roman" w:hAnsi="Trebuchet MS"/>
              </w:rPr>
            </w:pPr>
            <w:r>
              <w:rPr>
                <w:rFonts w:ascii="Trebuchet MS" w:eastAsia="Times New Roman" w:hAnsi="Trebuchet MS"/>
              </w:rPr>
              <w:t>  </w:t>
            </w:r>
            <w:r>
              <w:rPr>
                <w:rFonts w:ascii="Trebuchet MS" w:eastAsia="Times New Roman" w:hAnsi="Trebuchet MS"/>
                <w:b/>
                <w:bCs/>
              </w:rPr>
              <w:t>Patenkinamas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514002444"/>
              <w:rPr>
                <w:rFonts w:ascii="Trebuchet MS" w:eastAsia="Times New Roman" w:hAnsi="Trebuchet MS"/>
              </w:rPr>
            </w:pPr>
            <w:r>
              <w:rPr>
                <w:rFonts w:ascii="Trebuchet MS" w:eastAsia="Times New Roman" w:hAnsi="Trebuchet MS"/>
              </w:rPr>
              <w:t> </w:t>
            </w:r>
            <w:r>
              <w:rPr>
                <w:rFonts w:ascii="Trebuchet MS" w:eastAsia="Times New Roman" w:hAnsi="Trebuchet MS"/>
                <w:b/>
                <w:bCs/>
              </w:rPr>
              <w:t>Pagrindinis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jc w:val="center"/>
              <w:divId w:val="1616516417"/>
              <w:rPr>
                <w:rFonts w:ascii="Trebuchet MS" w:eastAsia="Times New Roman" w:hAnsi="Trebuchet MS"/>
              </w:rPr>
            </w:pPr>
            <w:r>
              <w:rPr>
                <w:rFonts w:ascii="Trebuchet MS" w:eastAsia="Times New Roman" w:hAnsi="Trebuchet MS"/>
              </w:rPr>
              <w:t>  </w:t>
            </w:r>
            <w:r>
              <w:rPr>
                <w:rFonts w:ascii="Trebuchet MS" w:eastAsia="Times New Roman" w:hAnsi="Trebuchet MS"/>
                <w:b/>
                <w:bCs/>
              </w:rPr>
              <w:t>Aukštesnysis</w:t>
            </w:r>
          </w:p>
        </w:tc>
      </w:tr>
      <w:tr w:rsidR="00000000">
        <w:trPr>
          <w:divId w:val="1351105533"/>
        </w:trPr>
        <w:tc>
          <w:tcPr>
            <w:tcW w:w="1815"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31729456"/>
              <w:rPr>
                <w:rFonts w:ascii="Trebuchet MS" w:eastAsia="Times New Roman" w:hAnsi="Trebuchet MS"/>
              </w:rPr>
            </w:pPr>
            <w:r>
              <w:rPr>
                <w:rFonts w:ascii="Trebuchet MS" w:eastAsia="Times New Roman" w:hAnsi="Trebuchet MS"/>
                <w:b/>
                <w:bCs/>
              </w:rPr>
              <w:t>Žinios ir supratimas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36057339"/>
              <w:rPr>
                <w:rFonts w:ascii="Trebuchet MS" w:eastAsia="Times New Roman" w:hAnsi="Trebuchet MS"/>
              </w:rPr>
            </w:pPr>
            <w:r>
              <w:rPr>
                <w:rFonts w:ascii="Trebuchet MS" w:eastAsia="Times New Roman" w:hAnsi="Trebuchet MS"/>
              </w:rPr>
              <w:t>Atkartoja tam tikras žinias, bet žinios ir supratimas paviršutiniški, ne visai atitinka mokinių pasiekimų aprašus. Atlikdamas standartines matematines procedūras (aritmetinius veiksmus, matavimus), dažnai klysta. Sprendžia tik paprasčiausius uždavinius įprastomis sąlygomis.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66273761"/>
              <w:rPr>
                <w:rFonts w:ascii="Trebuchet MS" w:eastAsia="Times New Roman" w:hAnsi="Trebuchet MS"/>
              </w:rPr>
            </w:pPr>
            <w:r>
              <w:rPr>
                <w:rFonts w:ascii="Trebuchet MS" w:eastAsia="Times New Roman" w:hAnsi="Trebuchet MS"/>
              </w:rPr>
              <w:t>Atgamina žinias, taiko jas naujose, papras tose situacijose, žinios ir supratimas atitinka mokinių pasiekimų aprašus. Atlikdamas standartines matematines procedūras, nedaro esminių klaidų.</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931546116"/>
              <w:rPr>
                <w:rFonts w:ascii="Trebuchet MS" w:eastAsia="Times New Roman" w:hAnsi="Trebuchet MS"/>
              </w:rPr>
            </w:pPr>
            <w:r>
              <w:rPr>
                <w:rFonts w:ascii="Trebuchet MS" w:eastAsia="Times New Roman" w:hAnsi="Trebuchet MS"/>
              </w:rPr>
              <w:t>Gerai išmokęs ir supranta visas pagrindines žinias ir su tema susijusias sąvokas, jas taiko naujose nesudėtingose situacijose, be klaidų atlieka standartines matematines procedūras.</w:t>
            </w:r>
          </w:p>
        </w:tc>
      </w:tr>
      <w:tr w:rsidR="00000000">
        <w:trPr>
          <w:divId w:val="1351105533"/>
        </w:trPr>
        <w:tc>
          <w:tcPr>
            <w:tcW w:w="1815"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200897244"/>
              <w:rPr>
                <w:rFonts w:ascii="Trebuchet MS" w:eastAsia="Times New Roman" w:hAnsi="Trebuchet MS"/>
              </w:rPr>
            </w:pPr>
            <w:r>
              <w:rPr>
                <w:rFonts w:ascii="Trebuchet MS" w:eastAsia="Times New Roman" w:hAnsi="Trebuchet MS"/>
                <w:b/>
                <w:bCs/>
              </w:rPr>
              <w:t>Komunikavimas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642298399"/>
              <w:rPr>
                <w:rFonts w:ascii="Trebuchet MS" w:eastAsia="Times New Roman" w:hAnsi="Trebuchet MS"/>
              </w:rPr>
            </w:pPr>
            <w:r>
              <w:rPr>
                <w:rFonts w:ascii="Trebuchet MS" w:eastAsia="Times New Roman" w:hAnsi="Trebuchet MS"/>
              </w:rPr>
              <w:t>Teisingai supranta paprasčiausių uždavinių, pateiktų įprastame kontekste, sąlygas. Atsakydamas į klausimus, samprotaudamas, spręsdamas paprasčiausius uždavinius, bando perteikti (žodžiais, simboliais ar kitaip) pagrindines mintis, vartoti kai kuriuos terminus ir simbolius, tačiau pagal pateikimą ryškėja, kad nepakankamai suprantamas tiek komunikavimo tikslas, tiek matematinės sąvokos bei simboliai. Perteikiami atskiri, nesusieti uždavinio sprendimo fragmentai be paaiškinimų, nesilaikoma susitarimų dėl uždavinio sprendimo ir atsakymo pateikimo (pateiktus sprendimus sunku suprasti).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502285346"/>
              <w:rPr>
                <w:rFonts w:ascii="Trebuchet MS" w:eastAsia="Times New Roman" w:hAnsi="Trebuchet MS"/>
              </w:rPr>
            </w:pPr>
            <w:r>
              <w:rPr>
                <w:rFonts w:ascii="Trebuchet MS" w:eastAsia="Times New Roman" w:hAnsi="Trebuchet MS"/>
              </w:rPr>
              <w:t>Teisingai supranta paprastų įvairaus konteksto praktinio ir matematinio turinio uždavinių sąlygas. Atsakydamas į klausimus, pagrįsdamas samprotavimus, spręsdamas paprastus uždavinius, vartoja tinkamus terminus bei simbolius. Uždavinio sprendimą pateikia laikydamasis susitarimų dėl uždavinių sprendimo ir atsakymo pateikimo. Trūksta tikslumo, nuoseklumo, rišlumo, glaustumo, kartojasi, ,,šokinėja“ mintys.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847285216"/>
              <w:rPr>
                <w:rFonts w:ascii="Trebuchet MS" w:eastAsia="Times New Roman" w:hAnsi="Trebuchet MS"/>
              </w:rPr>
            </w:pPr>
            <w:r>
              <w:rPr>
                <w:rFonts w:ascii="Trebuchet MS" w:eastAsia="Times New Roman" w:hAnsi="Trebuchet MS"/>
              </w:rPr>
              <w:t>Teisingai supranta įvairiais būdais pateiktas nesudėtingų uždavinių sąlygas, sprendžia įvairaus konteksto praktinius ir matematinius paprastus uždavinius. Nuosekliai, išsamiai ir glaustai pateikia uždavinio sprendimą, sklandžiai atsako į klausimus ir pagrindžia samprotavimus. Tiksliai bei tikslingai vartoja tinkamus simbolius bei terminus.</w:t>
            </w:r>
          </w:p>
        </w:tc>
      </w:tr>
      <w:tr w:rsidR="00000000">
        <w:trPr>
          <w:divId w:val="1351105533"/>
        </w:trPr>
        <w:tc>
          <w:tcPr>
            <w:tcW w:w="1815"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960572093"/>
              <w:rPr>
                <w:rFonts w:ascii="Trebuchet MS" w:eastAsia="Times New Roman" w:hAnsi="Trebuchet MS"/>
              </w:rPr>
            </w:pPr>
            <w:r>
              <w:rPr>
                <w:rFonts w:ascii="Trebuchet MS" w:eastAsia="Times New Roman" w:hAnsi="Trebuchet MS"/>
                <w:b/>
                <w:bCs/>
              </w:rPr>
              <w:t>Matematinis mąstymas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565410511"/>
              <w:rPr>
                <w:rFonts w:ascii="Trebuchet MS" w:eastAsia="Times New Roman" w:hAnsi="Trebuchet MS"/>
              </w:rPr>
            </w:pPr>
            <w:r>
              <w:rPr>
                <w:rFonts w:ascii="Trebuchet MS" w:eastAsia="Times New Roman" w:hAnsi="Trebuchet MS"/>
              </w:rPr>
              <w:t>Mokinys reproduktyviai mąsto įprastomis aplinkybėmis. Dalį informacijos supranta neteisingai, neįžvelgia ryšių tarp atskirų objektų. Atpažįsta ir nagrinėja tik atskiras tiriamojo klausimo detales, jų nesiedamas, neįžvelgia dėsningumų, ryšių.</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105030834"/>
              <w:rPr>
                <w:rFonts w:ascii="Trebuchet MS" w:eastAsia="Times New Roman" w:hAnsi="Trebuchet MS"/>
              </w:rPr>
            </w:pPr>
            <w:r>
              <w:rPr>
                <w:rFonts w:ascii="Trebuchet MS" w:eastAsia="Times New Roman" w:hAnsi="Trebuchet MS"/>
              </w:rPr>
              <w:t>Daugeliu atvejų produktyviai mąsto įprastomis aplinkybėmis. Taiko ryšius, iš esmės naudoja analizę ir sintezę, tačiau objektai ar reiškiniai nagrinėjami ne pagal visus būdingus bruožus, nustato tik pagrindinius jų sąryšius ar dėsningumus.</w:t>
            </w:r>
          </w:p>
          <w:p w:rsidR="00000000" w:rsidRDefault="00000000">
            <w:pPr>
              <w:divId w:val="1466658299"/>
              <w:rPr>
                <w:rFonts w:ascii="Trebuchet MS" w:eastAsia="Times New Roman" w:hAnsi="Trebuchet MS"/>
              </w:rPr>
            </w:pPr>
            <w:r>
              <w:rPr>
                <w:rFonts w:ascii="Trebuchet MS" w:eastAsia="Times New Roman" w:hAnsi="Trebuchet MS"/>
              </w:rPr>
              <w:t>Mokytojo padedamas, bando daryti teisingu sprendimu pagrįstas išvadas.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91985863"/>
              <w:rPr>
                <w:rFonts w:ascii="Trebuchet MS" w:eastAsia="Times New Roman" w:hAnsi="Trebuchet MS"/>
              </w:rPr>
            </w:pPr>
            <w:r>
              <w:rPr>
                <w:rFonts w:ascii="Trebuchet MS" w:eastAsia="Times New Roman" w:hAnsi="Trebuchet MS"/>
              </w:rPr>
              <w:t>Mokinys daugeliu atvejų parodo kūrybiniam mąstymui būdingus elementus neįprastomis aplinkybėmis. Apžvelgia būdingus objektų bei reiškinių bruožus, nustato ne tik pagrindinius, bet ir smulkesnius jų sąryšius ar dėsningumus. Rodo savarankiškumą, minčių originalumą. Daro galutines, tikslias ir logines ar teisingu sprendimu pagrįstas išvadas.</w:t>
            </w:r>
          </w:p>
        </w:tc>
      </w:tr>
      <w:tr w:rsidR="00000000">
        <w:trPr>
          <w:divId w:val="1351105533"/>
        </w:trPr>
        <w:tc>
          <w:tcPr>
            <w:tcW w:w="1815"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386639978"/>
              <w:rPr>
                <w:rFonts w:ascii="Trebuchet MS" w:eastAsia="Times New Roman" w:hAnsi="Trebuchet MS"/>
              </w:rPr>
            </w:pPr>
            <w:r>
              <w:rPr>
                <w:rFonts w:ascii="Trebuchet MS" w:eastAsia="Times New Roman" w:hAnsi="Trebuchet MS"/>
                <w:b/>
                <w:bCs/>
              </w:rPr>
              <w:t>Problemų sprendimas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1222673"/>
              <w:rPr>
                <w:rFonts w:ascii="Trebuchet MS" w:eastAsia="Times New Roman" w:hAnsi="Trebuchet MS"/>
              </w:rPr>
            </w:pPr>
            <w:r>
              <w:rPr>
                <w:rFonts w:ascii="Trebuchet MS" w:eastAsia="Times New Roman" w:hAnsi="Trebuchet MS"/>
              </w:rPr>
              <w:t>Atpažindamas jau žinomą kontekstą, sprendžia paprasčiausias (elementarias, supaprastintas) problemas, atlieka standartines procedūras analogiškose situacijose. Pateikia tam tikrus rezultatus ar sprendimu bei samprotavimais paremtas išvadas, tačiau dėl sprendime pasitaikiusių klaidų gautas rezultatas ar daromos išvados yra klaidingos, nedera su konkrečiais nagrinėtais atvejais, nepagrįstos loginiais samprotavimais. Gauto atsakymo ar išvados neargumentuoja ir neinterpretuoja pradinės sąlygos kontekste.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469323837"/>
              <w:rPr>
                <w:rFonts w:ascii="Trebuchet MS" w:eastAsia="Times New Roman" w:hAnsi="Trebuchet MS"/>
              </w:rPr>
            </w:pPr>
            <w:r>
              <w:rPr>
                <w:rFonts w:ascii="Trebuchet MS" w:eastAsia="Times New Roman" w:hAnsi="Trebuchet MS"/>
              </w:rPr>
              <w:t>Pasirenka ne visai racionalias problemų sprendimo strategijas. Teisingai sprendžia problemą, paaiškina uždavinio sprendimą ir gautus rezultatus, tačiau gauto atsakymo ar išvados neinterpretuoja pradinės sąlygos kontekste. Problema lyg ir išspręsta, tačiau ne visai susiejami atskiri sprendimo etapai, dėl ko sprendimas tarsi nutrūksta ir nepateikiamas galutinis atsakymas ar nepadaroma galutinė išvada.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352849454"/>
              <w:rPr>
                <w:rFonts w:ascii="Trebuchet MS" w:eastAsia="Times New Roman" w:hAnsi="Trebuchet MS"/>
              </w:rPr>
            </w:pPr>
            <w:r>
              <w:rPr>
                <w:rFonts w:ascii="Trebuchet MS" w:eastAsia="Times New Roman" w:hAnsi="Trebuchet MS"/>
              </w:rPr>
              <w:t>Pasirenka tinkamas ir racionalias problemų sprendimo strategijas, paaiškina uždavinio sprendimą. Daro išsamias ir tikslias išvadas, paremtas teisingu problemos sprendimu, randa teisingą atsakymą (sprendinį, rezultatą) ir interpretuoja jį pradinės sąlygos kontekste.</w:t>
            </w:r>
          </w:p>
        </w:tc>
      </w:tr>
      <w:tr w:rsidR="00000000">
        <w:trPr>
          <w:divId w:val="1351105533"/>
        </w:trPr>
        <w:tc>
          <w:tcPr>
            <w:tcW w:w="1815"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48446590"/>
              <w:rPr>
                <w:rFonts w:ascii="Trebuchet MS" w:eastAsia="Times New Roman" w:hAnsi="Trebuchet MS"/>
              </w:rPr>
            </w:pPr>
            <w:r>
              <w:rPr>
                <w:rFonts w:ascii="Trebuchet MS" w:eastAsia="Times New Roman" w:hAnsi="Trebuchet MS"/>
                <w:b/>
                <w:bCs/>
              </w:rPr>
              <w:t>Nuostatos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23891013"/>
              <w:rPr>
                <w:rFonts w:ascii="Trebuchet MS" w:eastAsia="Times New Roman" w:hAnsi="Trebuchet MS"/>
              </w:rPr>
            </w:pPr>
            <w:r>
              <w:rPr>
                <w:rFonts w:ascii="Trebuchet MS" w:eastAsia="Times New Roman" w:hAnsi="Trebuchet MS"/>
              </w:rPr>
              <w:t>Daugeliu atveju atlieka, kas pavesta, tačiau būdingas menkas pasitikėjimas savo jėgomis, ribotas domėjimasis matematika. Mokydamasis bendradarbiauja su kitais.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431315750"/>
              <w:rPr>
                <w:rFonts w:ascii="Trebuchet MS" w:eastAsia="Times New Roman" w:hAnsi="Trebuchet MS"/>
              </w:rPr>
            </w:pPr>
            <w:r>
              <w:rPr>
                <w:rFonts w:ascii="Trebuchet MS" w:eastAsia="Times New Roman" w:hAnsi="Trebuchet MS"/>
              </w:rPr>
              <w:t>Supranta matematikos mokymosi svarbą, jaučia atsakomybę už mokymosi rezultatus, stengiasi, aktyviai dalyvauja mokymosi procese.</w:t>
            </w:r>
          </w:p>
          <w:p w:rsidR="00000000" w:rsidRDefault="00000000">
            <w:pPr>
              <w:divId w:val="1376009579"/>
              <w:rPr>
                <w:rFonts w:ascii="Trebuchet MS" w:eastAsia="Times New Roman" w:hAnsi="Trebuchet MS"/>
              </w:rPr>
            </w:pPr>
            <w:r>
              <w:rPr>
                <w:rFonts w:ascii="Trebuchet MS" w:eastAsia="Times New Roman" w:hAnsi="Trebuchet MS"/>
              </w:rPr>
              <w:t>Teigiamai vertina savo ir kitų daromą pažangą, vertina įgyjamas matematikos žinias ir gebėjimus.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10257809"/>
              <w:rPr>
                <w:rFonts w:ascii="Trebuchet MS" w:eastAsia="Times New Roman" w:hAnsi="Trebuchet MS"/>
              </w:rPr>
            </w:pPr>
            <w:r>
              <w:rPr>
                <w:rFonts w:ascii="Trebuchet MS" w:eastAsia="Times New Roman" w:hAnsi="Trebuchet MS"/>
              </w:rPr>
              <w:t>Domisi matematika, aktyviai dalyvauja mokymosi procese, pasitiki savo jėgomis mokydamasis matematikos, siūlo originalias idėjas ir jų įgyvendinimo būdus.</w:t>
            </w:r>
          </w:p>
          <w:p w:rsidR="00000000" w:rsidRDefault="00000000">
            <w:pPr>
              <w:divId w:val="488209997"/>
              <w:rPr>
                <w:rFonts w:ascii="Trebuchet MS" w:eastAsia="Times New Roman" w:hAnsi="Trebuchet MS"/>
              </w:rPr>
            </w:pPr>
            <w:r>
              <w:rPr>
                <w:rFonts w:ascii="Trebuchet MS" w:eastAsia="Times New Roman" w:hAnsi="Trebuchet MS"/>
              </w:rPr>
              <w:t>Jaučia atsakomybę už savo ir kitų daromą pažangą, noriai padeda kitiems mokytis, vertina įgyjamas matematikos žinias ir gebėjimus.</w:t>
            </w:r>
          </w:p>
        </w:tc>
      </w:tr>
    </w:tbl>
    <w:p w:rsidR="00000000" w:rsidRDefault="00000000">
      <w:pPr>
        <w:rPr>
          <w:rFonts w:ascii="Trebuchet MS" w:eastAsia="Times New Roman" w:hAnsi="Trebuchet MS"/>
        </w:rPr>
      </w:pPr>
      <w:r>
        <w:rPr>
          <w:rFonts w:ascii="Trebuchet MS" w:eastAsia="Times New Roman" w:hAnsi="Trebuchet MS"/>
        </w:rPr>
        <w:pict>
          <v:rect id="_x0000_i1025" style="width:0;height:1.5pt" o:hralign="center" o:hrstd="t" o:hr="t" fillcolor="gray" stroked="f"/>
        </w:pict>
      </w:r>
    </w:p>
    <w:sectPr w:rsidR="0000000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Impact">
    <w:panose1 w:val="020B0806030902050204"/>
    <w:charset w:val="BA"/>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inheri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attachedSchema w:val="urn:Tea.SITC.Workflows.Curriculum"/>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87629">
      <w:marLeft w:val="0"/>
      <w:marRight w:val="0"/>
      <w:marTop w:val="0"/>
      <w:marBottom w:val="0"/>
      <w:divBdr>
        <w:top w:val="none" w:sz="0" w:space="0" w:color="auto"/>
        <w:left w:val="none" w:sz="0" w:space="0" w:color="auto"/>
        <w:bottom w:val="none" w:sz="0" w:space="0" w:color="auto"/>
        <w:right w:val="none" w:sz="0" w:space="0" w:color="auto"/>
      </w:divBdr>
      <w:divsChild>
        <w:div w:id="1980845231">
          <w:marLeft w:val="0"/>
          <w:marRight w:val="0"/>
          <w:marTop w:val="0"/>
          <w:marBottom w:val="0"/>
          <w:divBdr>
            <w:top w:val="none" w:sz="0" w:space="0" w:color="auto"/>
            <w:left w:val="none" w:sz="0" w:space="0" w:color="auto"/>
            <w:bottom w:val="none" w:sz="0" w:space="0" w:color="auto"/>
            <w:right w:val="none" w:sz="0" w:space="0" w:color="auto"/>
          </w:divBdr>
        </w:div>
        <w:div w:id="59720119">
          <w:marLeft w:val="0"/>
          <w:marRight w:val="0"/>
          <w:marTop w:val="0"/>
          <w:marBottom w:val="0"/>
          <w:divBdr>
            <w:top w:val="none" w:sz="0" w:space="0" w:color="auto"/>
            <w:left w:val="none" w:sz="0" w:space="0" w:color="auto"/>
            <w:bottom w:val="none" w:sz="0" w:space="0" w:color="auto"/>
            <w:right w:val="none" w:sz="0" w:space="0" w:color="auto"/>
          </w:divBdr>
        </w:div>
        <w:div w:id="900361932">
          <w:marLeft w:val="0"/>
          <w:marRight w:val="0"/>
          <w:marTop w:val="0"/>
          <w:marBottom w:val="0"/>
          <w:divBdr>
            <w:top w:val="none" w:sz="0" w:space="0" w:color="auto"/>
            <w:left w:val="none" w:sz="0" w:space="0" w:color="auto"/>
            <w:bottom w:val="none" w:sz="0" w:space="0" w:color="auto"/>
            <w:right w:val="none" w:sz="0" w:space="0" w:color="auto"/>
          </w:divBdr>
        </w:div>
      </w:divsChild>
    </w:div>
    <w:div w:id="1351105533">
      <w:marLeft w:val="0"/>
      <w:marRight w:val="0"/>
      <w:marTop w:val="0"/>
      <w:marBottom w:val="0"/>
      <w:divBdr>
        <w:top w:val="none" w:sz="0" w:space="0" w:color="auto"/>
        <w:left w:val="none" w:sz="0" w:space="0" w:color="auto"/>
        <w:bottom w:val="none" w:sz="0" w:space="0" w:color="auto"/>
        <w:right w:val="none" w:sz="0" w:space="0" w:color="auto"/>
      </w:divBdr>
      <w:divsChild>
        <w:div w:id="1773354191">
          <w:marLeft w:val="0"/>
          <w:marRight w:val="0"/>
          <w:marTop w:val="0"/>
          <w:marBottom w:val="0"/>
          <w:divBdr>
            <w:top w:val="none" w:sz="0" w:space="0" w:color="auto"/>
            <w:left w:val="none" w:sz="0" w:space="0" w:color="auto"/>
            <w:bottom w:val="none" w:sz="0" w:space="0" w:color="auto"/>
            <w:right w:val="none" w:sz="0" w:space="0" w:color="auto"/>
          </w:divBdr>
        </w:div>
        <w:div w:id="2022003053">
          <w:marLeft w:val="0"/>
          <w:marRight w:val="0"/>
          <w:marTop w:val="0"/>
          <w:marBottom w:val="0"/>
          <w:divBdr>
            <w:top w:val="none" w:sz="0" w:space="0" w:color="auto"/>
            <w:left w:val="none" w:sz="0" w:space="0" w:color="auto"/>
            <w:bottom w:val="none" w:sz="0" w:space="0" w:color="auto"/>
            <w:right w:val="none" w:sz="0" w:space="0" w:color="auto"/>
          </w:divBdr>
        </w:div>
        <w:div w:id="1092356251">
          <w:marLeft w:val="0"/>
          <w:marRight w:val="0"/>
          <w:marTop w:val="0"/>
          <w:marBottom w:val="0"/>
          <w:divBdr>
            <w:top w:val="none" w:sz="0" w:space="0" w:color="auto"/>
            <w:left w:val="none" w:sz="0" w:space="0" w:color="auto"/>
            <w:bottom w:val="none" w:sz="0" w:space="0" w:color="auto"/>
            <w:right w:val="none" w:sz="0" w:space="0" w:color="auto"/>
          </w:divBdr>
          <w:divsChild>
            <w:div w:id="1393770032">
              <w:marLeft w:val="0"/>
              <w:marRight w:val="0"/>
              <w:marTop w:val="0"/>
              <w:marBottom w:val="0"/>
              <w:divBdr>
                <w:top w:val="none" w:sz="0" w:space="0" w:color="auto"/>
                <w:left w:val="none" w:sz="0" w:space="0" w:color="auto"/>
                <w:bottom w:val="none" w:sz="0" w:space="0" w:color="auto"/>
                <w:right w:val="none" w:sz="0" w:space="0" w:color="auto"/>
              </w:divBdr>
            </w:div>
          </w:divsChild>
        </w:div>
        <w:div w:id="2030717109">
          <w:marLeft w:val="0"/>
          <w:marRight w:val="0"/>
          <w:marTop w:val="0"/>
          <w:marBottom w:val="0"/>
          <w:divBdr>
            <w:top w:val="none" w:sz="0" w:space="0" w:color="auto"/>
            <w:left w:val="none" w:sz="0" w:space="0" w:color="auto"/>
            <w:bottom w:val="none" w:sz="0" w:space="0" w:color="auto"/>
            <w:right w:val="none" w:sz="0" w:space="0" w:color="auto"/>
          </w:divBdr>
          <w:divsChild>
            <w:div w:id="514002444">
              <w:marLeft w:val="0"/>
              <w:marRight w:val="0"/>
              <w:marTop w:val="0"/>
              <w:marBottom w:val="0"/>
              <w:divBdr>
                <w:top w:val="none" w:sz="0" w:space="0" w:color="auto"/>
                <w:left w:val="none" w:sz="0" w:space="0" w:color="auto"/>
                <w:bottom w:val="none" w:sz="0" w:space="0" w:color="auto"/>
                <w:right w:val="none" w:sz="0" w:space="0" w:color="auto"/>
              </w:divBdr>
            </w:div>
          </w:divsChild>
        </w:div>
        <w:div w:id="1532960127">
          <w:marLeft w:val="0"/>
          <w:marRight w:val="0"/>
          <w:marTop w:val="0"/>
          <w:marBottom w:val="0"/>
          <w:divBdr>
            <w:top w:val="none" w:sz="0" w:space="0" w:color="auto"/>
            <w:left w:val="none" w:sz="0" w:space="0" w:color="auto"/>
            <w:bottom w:val="none" w:sz="0" w:space="0" w:color="auto"/>
            <w:right w:val="none" w:sz="0" w:space="0" w:color="auto"/>
          </w:divBdr>
          <w:divsChild>
            <w:div w:id="1616516417">
              <w:marLeft w:val="0"/>
              <w:marRight w:val="0"/>
              <w:marTop w:val="0"/>
              <w:marBottom w:val="0"/>
              <w:divBdr>
                <w:top w:val="none" w:sz="0" w:space="0" w:color="auto"/>
                <w:left w:val="none" w:sz="0" w:space="0" w:color="auto"/>
                <w:bottom w:val="none" w:sz="0" w:space="0" w:color="auto"/>
                <w:right w:val="none" w:sz="0" w:space="0" w:color="auto"/>
              </w:divBdr>
            </w:div>
          </w:divsChild>
        </w:div>
        <w:div w:id="731729456">
          <w:marLeft w:val="0"/>
          <w:marRight w:val="0"/>
          <w:marTop w:val="0"/>
          <w:marBottom w:val="0"/>
          <w:divBdr>
            <w:top w:val="none" w:sz="0" w:space="0" w:color="auto"/>
            <w:left w:val="none" w:sz="0" w:space="0" w:color="auto"/>
            <w:bottom w:val="none" w:sz="0" w:space="0" w:color="auto"/>
            <w:right w:val="none" w:sz="0" w:space="0" w:color="auto"/>
          </w:divBdr>
        </w:div>
        <w:div w:id="1223515716">
          <w:marLeft w:val="0"/>
          <w:marRight w:val="0"/>
          <w:marTop w:val="0"/>
          <w:marBottom w:val="0"/>
          <w:divBdr>
            <w:top w:val="none" w:sz="0" w:space="0" w:color="auto"/>
            <w:left w:val="none" w:sz="0" w:space="0" w:color="auto"/>
            <w:bottom w:val="none" w:sz="0" w:space="0" w:color="auto"/>
            <w:right w:val="none" w:sz="0" w:space="0" w:color="auto"/>
          </w:divBdr>
          <w:divsChild>
            <w:div w:id="736057339">
              <w:marLeft w:val="0"/>
              <w:marRight w:val="0"/>
              <w:marTop w:val="0"/>
              <w:marBottom w:val="0"/>
              <w:divBdr>
                <w:top w:val="none" w:sz="0" w:space="0" w:color="auto"/>
                <w:left w:val="none" w:sz="0" w:space="0" w:color="auto"/>
                <w:bottom w:val="none" w:sz="0" w:space="0" w:color="auto"/>
                <w:right w:val="none" w:sz="0" w:space="0" w:color="auto"/>
              </w:divBdr>
            </w:div>
          </w:divsChild>
        </w:div>
        <w:div w:id="1867282603">
          <w:marLeft w:val="0"/>
          <w:marRight w:val="0"/>
          <w:marTop w:val="0"/>
          <w:marBottom w:val="0"/>
          <w:divBdr>
            <w:top w:val="none" w:sz="0" w:space="0" w:color="auto"/>
            <w:left w:val="none" w:sz="0" w:space="0" w:color="auto"/>
            <w:bottom w:val="none" w:sz="0" w:space="0" w:color="auto"/>
            <w:right w:val="none" w:sz="0" w:space="0" w:color="auto"/>
          </w:divBdr>
          <w:divsChild>
            <w:div w:id="66273761">
              <w:marLeft w:val="0"/>
              <w:marRight w:val="0"/>
              <w:marTop w:val="0"/>
              <w:marBottom w:val="0"/>
              <w:divBdr>
                <w:top w:val="none" w:sz="0" w:space="0" w:color="auto"/>
                <w:left w:val="none" w:sz="0" w:space="0" w:color="auto"/>
                <w:bottom w:val="none" w:sz="0" w:space="0" w:color="auto"/>
                <w:right w:val="none" w:sz="0" w:space="0" w:color="auto"/>
              </w:divBdr>
            </w:div>
          </w:divsChild>
        </w:div>
        <w:div w:id="1016418051">
          <w:marLeft w:val="0"/>
          <w:marRight w:val="0"/>
          <w:marTop w:val="0"/>
          <w:marBottom w:val="0"/>
          <w:divBdr>
            <w:top w:val="none" w:sz="0" w:space="0" w:color="auto"/>
            <w:left w:val="none" w:sz="0" w:space="0" w:color="auto"/>
            <w:bottom w:val="none" w:sz="0" w:space="0" w:color="auto"/>
            <w:right w:val="none" w:sz="0" w:space="0" w:color="auto"/>
          </w:divBdr>
          <w:divsChild>
            <w:div w:id="1931546116">
              <w:marLeft w:val="0"/>
              <w:marRight w:val="0"/>
              <w:marTop w:val="0"/>
              <w:marBottom w:val="0"/>
              <w:divBdr>
                <w:top w:val="none" w:sz="0" w:space="0" w:color="auto"/>
                <w:left w:val="none" w:sz="0" w:space="0" w:color="auto"/>
                <w:bottom w:val="none" w:sz="0" w:space="0" w:color="auto"/>
                <w:right w:val="none" w:sz="0" w:space="0" w:color="auto"/>
              </w:divBdr>
            </w:div>
          </w:divsChild>
        </w:div>
        <w:div w:id="1200897244">
          <w:marLeft w:val="0"/>
          <w:marRight w:val="0"/>
          <w:marTop w:val="0"/>
          <w:marBottom w:val="0"/>
          <w:divBdr>
            <w:top w:val="none" w:sz="0" w:space="0" w:color="auto"/>
            <w:left w:val="none" w:sz="0" w:space="0" w:color="auto"/>
            <w:bottom w:val="none" w:sz="0" w:space="0" w:color="auto"/>
            <w:right w:val="none" w:sz="0" w:space="0" w:color="auto"/>
          </w:divBdr>
        </w:div>
        <w:div w:id="1343556546">
          <w:marLeft w:val="0"/>
          <w:marRight w:val="0"/>
          <w:marTop w:val="0"/>
          <w:marBottom w:val="0"/>
          <w:divBdr>
            <w:top w:val="none" w:sz="0" w:space="0" w:color="auto"/>
            <w:left w:val="none" w:sz="0" w:space="0" w:color="auto"/>
            <w:bottom w:val="none" w:sz="0" w:space="0" w:color="auto"/>
            <w:right w:val="none" w:sz="0" w:space="0" w:color="auto"/>
          </w:divBdr>
          <w:divsChild>
            <w:div w:id="1642298399">
              <w:marLeft w:val="0"/>
              <w:marRight w:val="0"/>
              <w:marTop w:val="0"/>
              <w:marBottom w:val="0"/>
              <w:divBdr>
                <w:top w:val="none" w:sz="0" w:space="0" w:color="auto"/>
                <w:left w:val="none" w:sz="0" w:space="0" w:color="auto"/>
                <w:bottom w:val="none" w:sz="0" w:space="0" w:color="auto"/>
                <w:right w:val="none" w:sz="0" w:space="0" w:color="auto"/>
              </w:divBdr>
            </w:div>
          </w:divsChild>
        </w:div>
        <w:div w:id="1567761477">
          <w:marLeft w:val="0"/>
          <w:marRight w:val="0"/>
          <w:marTop w:val="0"/>
          <w:marBottom w:val="0"/>
          <w:divBdr>
            <w:top w:val="none" w:sz="0" w:space="0" w:color="auto"/>
            <w:left w:val="none" w:sz="0" w:space="0" w:color="auto"/>
            <w:bottom w:val="none" w:sz="0" w:space="0" w:color="auto"/>
            <w:right w:val="none" w:sz="0" w:space="0" w:color="auto"/>
          </w:divBdr>
          <w:divsChild>
            <w:div w:id="502285346">
              <w:marLeft w:val="0"/>
              <w:marRight w:val="0"/>
              <w:marTop w:val="0"/>
              <w:marBottom w:val="0"/>
              <w:divBdr>
                <w:top w:val="none" w:sz="0" w:space="0" w:color="auto"/>
                <w:left w:val="none" w:sz="0" w:space="0" w:color="auto"/>
                <w:bottom w:val="none" w:sz="0" w:space="0" w:color="auto"/>
                <w:right w:val="none" w:sz="0" w:space="0" w:color="auto"/>
              </w:divBdr>
            </w:div>
          </w:divsChild>
        </w:div>
        <w:div w:id="621575118">
          <w:marLeft w:val="0"/>
          <w:marRight w:val="0"/>
          <w:marTop w:val="0"/>
          <w:marBottom w:val="0"/>
          <w:divBdr>
            <w:top w:val="none" w:sz="0" w:space="0" w:color="auto"/>
            <w:left w:val="none" w:sz="0" w:space="0" w:color="auto"/>
            <w:bottom w:val="none" w:sz="0" w:space="0" w:color="auto"/>
            <w:right w:val="none" w:sz="0" w:space="0" w:color="auto"/>
          </w:divBdr>
          <w:divsChild>
            <w:div w:id="1847285216">
              <w:marLeft w:val="0"/>
              <w:marRight w:val="0"/>
              <w:marTop w:val="0"/>
              <w:marBottom w:val="0"/>
              <w:divBdr>
                <w:top w:val="none" w:sz="0" w:space="0" w:color="auto"/>
                <w:left w:val="none" w:sz="0" w:space="0" w:color="auto"/>
                <w:bottom w:val="none" w:sz="0" w:space="0" w:color="auto"/>
                <w:right w:val="none" w:sz="0" w:space="0" w:color="auto"/>
              </w:divBdr>
            </w:div>
          </w:divsChild>
        </w:div>
        <w:div w:id="960572093">
          <w:marLeft w:val="0"/>
          <w:marRight w:val="0"/>
          <w:marTop w:val="0"/>
          <w:marBottom w:val="0"/>
          <w:divBdr>
            <w:top w:val="none" w:sz="0" w:space="0" w:color="auto"/>
            <w:left w:val="none" w:sz="0" w:space="0" w:color="auto"/>
            <w:bottom w:val="none" w:sz="0" w:space="0" w:color="auto"/>
            <w:right w:val="none" w:sz="0" w:space="0" w:color="auto"/>
          </w:divBdr>
        </w:div>
        <w:div w:id="42993636">
          <w:marLeft w:val="0"/>
          <w:marRight w:val="0"/>
          <w:marTop w:val="0"/>
          <w:marBottom w:val="0"/>
          <w:divBdr>
            <w:top w:val="none" w:sz="0" w:space="0" w:color="auto"/>
            <w:left w:val="none" w:sz="0" w:space="0" w:color="auto"/>
            <w:bottom w:val="none" w:sz="0" w:space="0" w:color="auto"/>
            <w:right w:val="none" w:sz="0" w:space="0" w:color="auto"/>
          </w:divBdr>
          <w:divsChild>
            <w:div w:id="565410511">
              <w:marLeft w:val="0"/>
              <w:marRight w:val="0"/>
              <w:marTop w:val="0"/>
              <w:marBottom w:val="0"/>
              <w:divBdr>
                <w:top w:val="none" w:sz="0" w:space="0" w:color="auto"/>
                <w:left w:val="none" w:sz="0" w:space="0" w:color="auto"/>
                <w:bottom w:val="none" w:sz="0" w:space="0" w:color="auto"/>
                <w:right w:val="none" w:sz="0" w:space="0" w:color="auto"/>
              </w:divBdr>
            </w:div>
          </w:divsChild>
        </w:div>
        <w:div w:id="1008144104">
          <w:marLeft w:val="0"/>
          <w:marRight w:val="0"/>
          <w:marTop w:val="0"/>
          <w:marBottom w:val="0"/>
          <w:divBdr>
            <w:top w:val="none" w:sz="0" w:space="0" w:color="auto"/>
            <w:left w:val="none" w:sz="0" w:space="0" w:color="auto"/>
            <w:bottom w:val="none" w:sz="0" w:space="0" w:color="auto"/>
            <w:right w:val="none" w:sz="0" w:space="0" w:color="auto"/>
          </w:divBdr>
          <w:divsChild>
            <w:div w:id="1105030834">
              <w:marLeft w:val="0"/>
              <w:marRight w:val="0"/>
              <w:marTop w:val="0"/>
              <w:marBottom w:val="0"/>
              <w:divBdr>
                <w:top w:val="none" w:sz="0" w:space="0" w:color="auto"/>
                <w:left w:val="none" w:sz="0" w:space="0" w:color="auto"/>
                <w:bottom w:val="none" w:sz="0" w:space="0" w:color="auto"/>
                <w:right w:val="none" w:sz="0" w:space="0" w:color="auto"/>
              </w:divBdr>
            </w:div>
          </w:divsChild>
        </w:div>
        <w:div w:id="1551263611">
          <w:marLeft w:val="0"/>
          <w:marRight w:val="0"/>
          <w:marTop w:val="0"/>
          <w:marBottom w:val="0"/>
          <w:divBdr>
            <w:top w:val="none" w:sz="0" w:space="0" w:color="auto"/>
            <w:left w:val="none" w:sz="0" w:space="0" w:color="auto"/>
            <w:bottom w:val="none" w:sz="0" w:space="0" w:color="auto"/>
            <w:right w:val="none" w:sz="0" w:space="0" w:color="auto"/>
          </w:divBdr>
          <w:divsChild>
            <w:div w:id="1466658299">
              <w:marLeft w:val="0"/>
              <w:marRight w:val="0"/>
              <w:marTop w:val="0"/>
              <w:marBottom w:val="0"/>
              <w:divBdr>
                <w:top w:val="none" w:sz="0" w:space="0" w:color="auto"/>
                <w:left w:val="none" w:sz="0" w:space="0" w:color="auto"/>
                <w:bottom w:val="none" w:sz="0" w:space="0" w:color="auto"/>
                <w:right w:val="none" w:sz="0" w:space="0" w:color="auto"/>
              </w:divBdr>
            </w:div>
          </w:divsChild>
        </w:div>
        <w:div w:id="1508591970">
          <w:marLeft w:val="0"/>
          <w:marRight w:val="0"/>
          <w:marTop w:val="0"/>
          <w:marBottom w:val="0"/>
          <w:divBdr>
            <w:top w:val="none" w:sz="0" w:space="0" w:color="auto"/>
            <w:left w:val="none" w:sz="0" w:space="0" w:color="auto"/>
            <w:bottom w:val="none" w:sz="0" w:space="0" w:color="auto"/>
            <w:right w:val="none" w:sz="0" w:space="0" w:color="auto"/>
          </w:divBdr>
          <w:divsChild>
            <w:div w:id="291985863">
              <w:marLeft w:val="0"/>
              <w:marRight w:val="0"/>
              <w:marTop w:val="0"/>
              <w:marBottom w:val="0"/>
              <w:divBdr>
                <w:top w:val="none" w:sz="0" w:space="0" w:color="auto"/>
                <w:left w:val="none" w:sz="0" w:space="0" w:color="auto"/>
                <w:bottom w:val="none" w:sz="0" w:space="0" w:color="auto"/>
                <w:right w:val="none" w:sz="0" w:space="0" w:color="auto"/>
              </w:divBdr>
            </w:div>
          </w:divsChild>
        </w:div>
        <w:div w:id="1386639978">
          <w:marLeft w:val="0"/>
          <w:marRight w:val="0"/>
          <w:marTop w:val="0"/>
          <w:marBottom w:val="0"/>
          <w:divBdr>
            <w:top w:val="none" w:sz="0" w:space="0" w:color="auto"/>
            <w:left w:val="none" w:sz="0" w:space="0" w:color="auto"/>
            <w:bottom w:val="none" w:sz="0" w:space="0" w:color="auto"/>
            <w:right w:val="none" w:sz="0" w:space="0" w:color="auto"/>
          </w:divBdr>
        </w:div>
        <w:div w:id="151222673">
          <w:marLeft w:val="0"/>
          <w:marRight w:val="0"/>
          <w:marTop w:val="0"/>
          <w:marBottom w:val="0"/>
          <w:divBdr>
            <w:top w:val="none" w:sz="0" w:space="0" w:color="auto"/>
            <w:left w:val="none" w:sz="0" w:space="0" w:color="auto"/>
            <w:bottom w:val="none" w:sz="0" w:space="0" w:color="auto"/>
            <w:right w:val="none" w:sz="0" w:space="0" w:color="auto"/>
          </w:divBdr>
        </w:div>
        <w:div w:id="1469323837">
          <w:marLeft w:val="0"/>
          <w:marRight w:val="0"/>
          <w:marTop w:val="0"/>
          <w:marBottom w:val="0"/>
          <w:divBdr>
            <w:top w:val="none" w:sz="0" w:space="0" w:color="auto"/>
            <w:left w:val="none" w:sz="0" w:space="0" w:color="auto"/>
            <w:bottom w:val="none" w:sz="0" w:space="0" w:color="auto"/>
            <w:right w:val="none" w:sz="0" w:space="0" w:color="auto"/>
          </w:divBdr>
        </w:div>
        <w:div w:id="352849454">
          <w:marLeft w:val="0"/>
          <w:marRight w:val="0"/>
          <w:marTop w:val="0"/>
          <w:marBottom w:val="0"/>
          <w:divBdr>
            <w:top w:val="none" w:sz="0" w:space="0" w:color="auto"/>
            <w:left w:val="none" w:sz="0" w:space="0" w:color="auto"/>
            <w:bottom w:val="none" w:sz="0" w:space="0" w:color="auto"/>
            <w:right w:val="none" w:sz="0" w:space="0" w:color="auto"/>
          </w:divBdr>
        </w:div>
        <w:div w:id="148446590">
          <w:marLeft w:val="0"/>
          <w:marRight w:val="0"/>
          <w:marTop w:val="0"/>
          <w:marBottom w:val="0"/>
          <w:divBdr>
            <w:top w:val="none" w:sz="0" w:space="0" w:color="auto"/>
            <w:left w:val="none" w:sz="0" w:space="0" w:color="auto"/>
            <w:bottom w:val="none" w:sz="0" w:space="0" w:color="auto"/>
            <w:right w:val="none" w:sz="0" w:space="0" w:color="auto"/>
          </w:divBdr>
        </w:div>
        <w:div w:id="2023891013">
          <w:marLeft w:val="0"/>
          <w:marRight w:val="0"/>
          <w:marTop w:val="0"/>
          <w:marBottom w:val="0"/>
          <w:divBdr>
            <w:top w:val="none" w:sz="0" w:space="0" w:color="auto"/>
            <w:left w:val="none" w:sz="0" w:space="0" w:color="auto"/>
            <w:bottom w:val="none" w:sz="0" w:space="0" w:color="auto"/>
            <w:right w:val="none" w:sz="0" w:space="0" w:color="auto"/>
          </w:divBdr>
        </w:div>
        <w:div w:id="431315750">
          <w:marLeft w:val="0"/>
          <w:marRight w:val="0"/>
          <w:marTop w:val="0"/>
          <w:marBottom w:val="0"/>
          <w:divBdr>
            <w:top w:val="none" w:sz="0" w:space="0" w:color="auto"/>
            <w:left w:val="none" w:sz="0" w:space="0" w:color="auto"/>
            <w:bottom w:val="none" w:sz="0" w:space="0" w:color="auto"/>
            <w:right w:val="none" w:sz="0" w:space="0" w:color="auto"/>
          </w:divBdr>
        </w:div>
        <w:div w:id="1376009579">
          <w:marLeft w:val="0"/>
          <w:marRight w:val="0"/>
          <w:marTop w:val="0"/>
          <w:marBottom w:val="0"/>
          <w:divBdr>
            <w:top w:val="none" w:sz="0" w:space="0" w:color="auto"/>
            <w:left w:val="none" w:sz="0" w:space="0" w:color="auto"/>
            <w:bottom w:val="none" w:sz="0" w:space="0" w:color="auto"/>
            <w:right w:val="none" w:sz="0" w:space="0" w:color="auto"/>
          </w:divBdr>
        </w:div>
        <w:div w:id="1010257809">
          <w:marLeft w:val="0"/>
          <w:marRight w:val="0"/>
          <w:marTop w:val="0"/>
          <w:marBottom w:val="0"/>
          <w:divBdr>
            <w:top w:val="none" w:sz="0" w:space="0" w:color="auto"/>
            <w:left w:val="none" w:sz="0" w:space="0" w:color="auto"/>
            <w:bottom w:val="none" w:sz="0" w:space="0" w:color="auto"/>
            <w:right w:val="none" w:sz="0" w:space="0" w:color="auto"/>
          </w:divBdr>
        </w:div>
        <w:div w:id="48820999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0D2CEFC12E8AD46A853F3ABC7727AB6" ma:contentTypeVersion="0" ma:contentTypeDescription="Kurkite naują dokumentą." ma:contentTypeScope="" ma:versionID="23b76a759754c4c31624d1b84f10f2d4">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B6E4F-DDF4-4BA4-8450-4F04D0D3163E}"/>
</file>

<file path=customXml/itemProps2.xml><?xml version="1.0" encoding="utf-8"?>
<ds:datastoreItem xmlns:ds="http://schemas.openxmlformats.org/officeDocument/2006/customXml" ds:itemID="{54C1F185-8744-4DBF-9D8F-66439EC14A4E}"/>
</file>

<file path=customXml/itemProps3.xml><?xml version="1.0" encoding="utf-8"?>
<ds:datastoreItem xmlns:ds="http://schemas.openxmlformats.org/officeDocument/2006/customXml" ds:itemID="{39354ED3-828A-4803-AA05-C8E500944ECD}"/>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2011-08-31T07:00:00Z</cp:lastPrinted>
  <dcterms:created xsi:type="dcterms:W3CDTF">2011-08-31T07:00:00Z</dcterms:created>
  <dcterms:modified xsi:type="dcterms:W3CDTF">2011-08-31T07:00:00Z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0x010100C0D2CEFC12E8AD46A853F3ABC7727AB6</vt:lpwstr>
  </property>
</Properties>
</file>