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Meninis ugdymas</w:t>
      </w:r>
      <w:r>
        <w:rPr>
          <w:rFonts w:ascii="Trebuchet MS" w:eastAsia="Times New Roman" w:hAnsi="Trebuchet MS"/>
        </w:rPr>
        <w:br/>
        <w:t>Šokis</w:t>
      </w:r>
      <w:r>
        <w:rPr>
          <w:rFonts w:ascii="Trebuchet MS" w:eastAsia="Times New Roman" w:hAnsi="Trebuchet MS"/>
        </w:rPr>
        <w:br/>
        <w:t>3-4 klasės</w:t>
      </w:r>
    </w:p>
    <w:p w:rsidR="00000000" w:rsidRDefault="00000000">
      <w:pPr>
        <w:divId w:val="2044668282"/>
        <w:rPr>
          <w:rFonts w:ascii="Trebuchet MS" w:eastAsia="Times New Roman" w:hAnsi="Trebuchet MS"/>
        </w:rPr>
      </w:pPr>
      <w:r>
        <w:rPr>
          <w:rFonts w:ascii="Trebuchet MS" w:eastAsia="Times New Roman" w:hAnsi="Trebuchet MS"/>
          <w:b/>
          <w:bCs/>
        </w:rPr>
        <w:t>26.7.3. Vertinimas</w:t>
      </w:r>
    </w:p>
    <w:p w:rsidR="00000000" w:rsidRDefault="00000000">
      <w:pPr>
        <w:divId w:val="905645545"/>
        <w:rPr>
          <w:rFonts w:ascii="Trebuchet MS" w:eastAsia="Times New Roman" w:hAnsi="Trebuchet MS"/>
        </w:rPr>
      </w:pPr>
      <w:r>
        <w:rPr>
          <w:rFonts w:ascii="Trebuchet MS" w:eastAsia="Times New Roman" w:hAnsi="Trebuchet MS"/>
        </w:rPr>
        <w:t> </w:t>
      </w:r>
    </w:p>
    <w:p w:rsidR="00000000" w:rsidRDefault="00000000">
      <w:pPr>
        <w:divId w:val="516846151"/>
        <w:rPr>
          <w:rFonts w:ascii="Trebuchet MS" w:eastAsia="Times New Roman" w:hAnsi="Trebuchet MS"/>
        </w:rPr>
      </w:pPr>
      <w:r>
        <w:rPr>
          <w:rFonts w:ascii="Trebuchet MS" w:eastAsia="Times New Roman" w:hAnsi="Trebuchet MS"/>
        </w:rPr>
        <w:t>26.7.3.1. Lentelėje pateikiamas kiekvienos veiklos srities trijų lygių mokinių pasiekimų aprašas. Nurodomi pasiekimų lygių požymiai padės mokytojui įvertinti mokinių pasiekimus ir daromą pažangą. Nuostatos atskirai nevertinamos, jos reiškiasi per mokinių gebėjimus, žinias ir supratimą. Remiantis nurodytais požymiais galima ir spręsti apie tarpinius pasiekimus, ir daryti apibendrinamuosius vertinimo aprašus pusmečio, metų pabaigoje ar baigiant ketvirtąją klasę. Pagal pasiekimų lygius nederėtų vaikų skirstyti į ,,pažangius“ ir ,,nepažangius“,</w:t>
      </w:r>
    </w:p>
    <w:p w:rsidR="00000000" w:rsidRDefault="00000000">
      <w:pPr>
        <w:divId w:val="724640014"/>
        <w:rPr>
          <w:rFonts w:ascii="Trebuchet MS" w:eastAsia="Times New Roman" w:hAnsi="Trebuchet MS"/>
        </w:rPr>
      </w:pPr>
      <w:r>
        <w:rPr>
          <w:rFonts w:ascii="Trebuchet MS" w:eastAsia="Times New Roman" w:hAnsi="Trebuchet MS"/>
        </w:rPr>
        <w:t>,,gabius“ ir ,,negabius“.</w:t>
      </w:r>
    </w:p>
    <w:p w:rsidR="00000000" w:rsidRDefault="00000000">
      <w:pPr>
        <w:divId w:val="570778530"/>
        <w:rPr>
          <w:rFonts w:ascii="Trebuchet MS" w:eastAsia="Times New Roman" w:hAnsi="Trebuchet MS"/>
        </w:rPr>
      </w:pPr>
      <w:r>
        <w:rPr>
          <w:rFonts w:ascii="Trebuchet MS" w:eastAsia="Times New Roman" w:hAnsi="Trebuchet MS"/>
        </w:rPr>
        <w:t> </w:t>
      </w:r>
    </w:p>
    <w:p w:rsidR="00000000" w:rsidRDefault="00000000">
      <w:pPr>
        <w:divId w:val="1643189717"/>
        <w:rPr>
          <w:rFonts w:ascii="Trebuchet MS" w:eastAsia="Times New Roman" w:hAnsi="Trebuchet MS"/>
        </w:rPr>
      </w:pPr>
      <w:r>
        <w:rPr>
          <w:rFonts w:ascii="Trebuchet MS" w:eastAsia="Times New Roman" w:hAnsi="Trebuchet MS"/>
          <w:b/>
          <w:bCs/>
        </w:rPr>
        <w:t>26.7.3.2. Mokinių pasiekimų lygių požymiai. 3–4 klasės</w:t>
      </w:r>
      <w:r>
        <w:rPr>
          <w:rFonts w:ascii="Trebuchet MS" w:eastAsia="Times New Roman" w:hAnsi="Trebuchet MS"/>
        </w:rPr>
        <w:t> </w:t>
      </w:r>
    </w:p>
    <w:p w:rsidR="00000000" w:rsidRDefault="00000000">
      <w:pPr>
        <w:divId w:val="1574392767"/>
        <w:rPr>
          <w:rFonts w:ascii="Trebuchet MS" w:eastAsia="Times New Roman" w:hAnsi="Trebuchet MS"/>
        </w:rPr>
      </w:pPr>
      <w:r>
        <w:rPr>
          <w:rFonts w:ascii="Trebuchet MS" w:eastAsia="Times New Roman" w:hAnsi="Trebuchet MS"/>
        </w:rPr>
        <w:t> </w:t>
      </w:r>
    </w:p>
    <w:tbl>
      <w:tblPr>
        <w:tblW w:w="0" w:type="auto"/>
        <w:tblCellMar>
          <w:top w:w="15" w:type="dxa"/>
          <w:left w:w="15" w:type="dxa"/>
          <w:bottom w:w="15" w:type="dxa"/>
          <w:right w:w="15" w:type="dxa"/>
        </w:tblCellMar>
        <w:tblLook w:val="04A0" w:firstRow="1" w:lastRow="0" w:firstColumn="1" w:lastColumn="0" w:noHBand="0" w:noVBand="1"/>
      </w:tblPr>
      <w:tblGrid>
        <w:gridCol w:w="2359"/>
        <w:gridCol w:w="4277"/>
        <w:gridCol w:w="1683"/>
        <w:gridCol w:w="1683"/>
      </w:tblGrid>
      <w:tr w:rsidR="00000000">
        <w:trPr>
          <w:divId w:val="1603801914"/>
        </w:trPr>
        <w:tc>
          <w:tcPr>
            <w:tcW w:w="1650" w:type="dxa"/>
            <w:shd w:val="clear" w:color="auto" w:fill="FDC56A"/>
            <w:vAlign w:val="cente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Pasiekimų sritys</w:t>
            </w:r>
          </w:p>
        </w:tc>
        <w:tc>
          <w:tcPr>
            <w:tcW w:w="2430" w:type="dxa"/>
            <w:shd w:val="clear" w:color="auto" w:fill="FDC56A"/>
            <w:vAlign w:val="center"/>
            <w:hideMark/>
          </w:tcPr>
          <w:p w:rsidR="00000000" w:rsidRDefault="00000000">
            <w:pPr>
              <w:jc w:val="center"/>
              <w:divId w:val="1863519820"/>
              <w:rPr>
                <w:rFonts w:ascii="Trebuchet MS" w:eastAsia="Times New Roman" w:hAnsi="Trebuchet MS"/>
              </w:rPr>
            </w:pPr>
            <w:r>
              <w:rPr>
                <w:rFonts w:ascii="Trebuchet MS" w:eastAsia="Times New Roman" w:hAnsi="Trebuchet MS"/>
                <w:b/>
                <w:bCs/>
              </w:rPr>
              <w:t>Patenkinamas</w:t>
            </w:r>
          </w:p>
        </w:tc>
        <w:tc>
          <w:tcPr>
            <w:tcW w:w="0" w:type="auto"/>
            <w:shd w:val="clear" w:color="auto" w:fill="FDC56A"/>
            <w:vAlign w:val="center"/>
            <w:hideMark/>
          </w:tcPr>
          <w:p w:rsidR="00000000" w:rsidRDefault="00000000">
            <w:pPr>
              <w:jc w:val="center"/>
              <w:divId w:val="397024231"/>
              <w:rPr>
                <w:rFonts w:ascii="Trebuchet MS" w:eastAsia="Times New Roman" w:hAnsi="Trebuchet MS"/>
              </w:rPr>
            </w:pPr>
            <w:r>
              <w:rPr>
                <w:rFonts w:ascii="Trebuchet MS" w:eastAsia="Times New Roman" w:hAnsi="Trebuchet MS"/>
                <w:b/>
                <w:bCs/>
              </w:rPr>
              <w:t>Pagrindinis</w:t>
            </w:r>
          </w:p>
        </w:tc>
        <w:tc>
          <w:tcPr>
            <w:tcW w:w="0" w:type="auto"/>
            <w:shd w:val="clear" w:color="auto" w:fill="FDC56A"/>
            <w:vAlign w:val="center"/>
            <w:hideMark/>
          </w:tcPr>
          <w:p w:rsidR="00000000" w:rsidRDefault="00000000">
            <w:pPr>
              <w:jc w:val="center"/>
              <w:divId w:val="190729953"/>
              <w:rPr>
                <w:rFonts w:ascii="Trebuchet MS" w:eastAsia="Times New Roman" w:hAnsi="Trebuchet MS"/>
              </w:rPr>
            </w:pPr>
            <w:r>
              <w:rPr>
                <w:rFonts w:ascii="Trebuchet MS" w:eastAsia="Times New Roman" w:hAnsi="Trebuchet MS"/>
                <w:b/>
                <w:bCs/>
              </w:rPr>
              <w:t>Aukštesnysis</w:t>
            </w:r>
          </w:p>
        </w:tc>
      </w:tr>
      <w:tr w:rsidR="00000000">
        <w:trPr>
          <w:divId w:val="1603801914"/>
        </w:trPr>
        <w:tc>
          <w:tcPr>
            <w:tcW w:w="165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59370812"/>
              <w:rPr>
                <w:rFonts w:ascii="Trebuchet MS" w:eastAsia="Times New Roman" w:hAnsi="Trebuchet MS"/>
              </w:rPr>
            </w:pPr>
            <w:r>
              <w:rPr>
                <w:rFonts w:ascii="Trebuchet MS" w:eastAsia="Times New Roman" w:hAnsi="Trebuchet MS"/>
                <w:b/>
                <w:bCs/>
              </w:rPr>
              <w:t>Šokio raiška</w:t>
            </w:r>
          </w:p>
        </w:tc>
        <w:tc>
          <w:tcPr>
            <w:tcW w:w="2430" w:type="dxa"/>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10211821"/>
              <w:rPr>
                <w:rFonts w:ascii="Trebuchet MS" w:eastAsia="Times New Roman" w:hAnsi="Trebuchet MS"/>
              </w:rPr>
            </w:pPr>
            <w:r>
              <w:rPr>
                <w:rFonts w:ascii="Trebuchet MS" w:eastAsia="Times New Roman" w:hAnsi="Trebuchet MS"/>
              </w:rPr>
              <w:t>Skiria šokio judesių aukštį, kryptį, greitį, jėgą, nuotaiką, tačiau šokdamas ir kurdamas šokius šiuos elementus naudoja paskirai, neatsižvelgia į šokio sumanymą. Patinkančioje šokio veikloje fragmentiškai atsipalaiduoja. Atlieka keletą paskirų šokio žingsnių, bet negali jų įvardyti. Numato vieną dalyvavimo šokio veikloje ar kūrybinio sumanymo įgyvendinimo etapą padedant mokytojui.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19856412"/>
              <w:rPr>
                <w:rFonts w:ascii="Trebuchet MS" w:eastAsia="Times New Roman" w:hAnsi="Trebuchet MS"/>
              </w:rPr>
            </w:pPr>
            <w:r>
              <w:rPr>
                <w:rFonts w:ascii="Trebuchet MS" w:eastAsia="Times New Roman" w:hAnsi="Trebuchet MS"/>
              </w:rPr>
              <w:t>Skiria šokio judesių aukštį, kryptį, greitį, jėgą, nuotaiką, šokdamas ir kurdamas šokius naudoja šiuos elementus siedamas tarpusavyje ir atsižvelgdamas į šokio sumanymą. Patinkančioje šokio veikloje atsipalaiduoja, turi kūrybinių sumanymų. Atlieka keletą susijusių šokio žingsnių derinių ir (ar) šokių ir juos įvardija. Suplanuoja dalyvavimo šokio veikloje, kūrybinio sumanymo įgyvendinimo etapus, atsižvelgdamas į mokytojo pasiūlymus.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06390251"/>
              <w:rPr>
                <w:rFonts w:ascii="Trebuchet MS" w:eastAsia="Times New Roman" w:hAnsi="Trebuchet MS"/>
              </w:rPr>
            </w:pPr>
            <w:r>
              <w:rPr>
                <w:rFonts w:ascii="Trebuchet MS" w:eastAsia="Times New Roman" w:hAnsi="Trebuchet MS"/>
              </w:rPr>
              <w:t>Skiria šokio judesių aukštį, kryptį, greitį, jėgą, nuotaiką, apibūdina šiuos elementus, šokdamas ir kurdamas laisvai juos tyrinėja, sieja tarpusavyje, atranda keletą derinimo variantų, išsirenka labiausiai vykusį, atitinkantį šokio sumanymą. Visą laiką yra aktyvus, turi įvairių kūrybinių sumanymų. Išraiškingai atlieka keletą susijusių šokio žingsnių derinių ir (ar) šokių ir juos įvardija. Savarankiškai suplanuoja dalyvavimo šokio veikloje, kūrybinio sumanymo įgyvendinimo etapus atsižvelgdamas į savo patirtį, kas sekėsi, kas nesisekė.</w:t>
            </w:r>
          </w:p>
        </w:tc>
      </w:tr>
      <w:tr w:rsidR="00000000">
        <w:trPr>
          <w:divId w:val="1603801914"/>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59092922"/>
              <w:rPr>
                <w:rFonts w:ascii="Trebuchet MS" w:eastAsia="Times New Roman" w:hAnsi="Trebuchet MS"/>
              </w:rPr>
            </w:pPr>
            <w:r>
              <w:rPr>
                <w:rFonts w:ascii="Trebuchet MS" w:eastAsia="Times New Roman" w:hAnsi="Trebuchet MS"/>
                <w:b/>
                <w:bCs/>
              </w:rPr>
              <w:t>Šokio stebėjimas, interpretavimas ir vertinimas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74810404"/>
              <w:rPr>
                <w:rFonts w:ascii="Trebuchet MS" w:eastAsia="Times New Roman" w:hAnsi="Trebuchet MS"/>
              </w:rPr>
            </w:pPr>
            <w:r>
              <w:rPr>
                <w:rFonts w:ascii="Trebuchet MS" w:eastAsia="Times New Roman" w:hAnsi="Trebuchet MS"/>
              </w:rPr>
              <w:t>Atpažįsta ir pasako vieną šoktą ar matytą žaidimą, ratelį, šokį, nurodo bent vieną skirtumą. Mokytojui padedant fragmentiškai laikosi žiūrovo elgesio taisyklių.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47463918"/>
              <w:rPr>
                <w:rFonts w:ascii="Trebuchet MS" w:eastAsia="Times New Roman" w:hAnsi="Trebuchet MS"/>
              </w:rPr>
            </w:pPr>
            <w:r>
              <w:rPr>
                <w:rFonts w:ascii="Trebuchet MS" w:eastAsia="Times New Roman" w:hAnsi="Trebuchet MS"/>
              </w:rPr>
              <w:t>Atpažįsta ir išvardija 1–2 šoktus ar stebėtus žaidimus, ratelius, šokius, palygina ir nurodo 1–2 skirtumus ir panašumus. Mokytojui padedant laikosi žiūrovo elgesio taisyklių.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11025635"/>
              <w:rPr>
                <w:rFonts w:ascii="Trebuchet MS" w:eastAsia="Times New Roman" w:hAnsi="Trebuchet MS"/>
              </w:rPr>
            </w:pPr>
            <w:r>
              <w:rPr>
                <w:rFonts w:ascii="Trebuchet MS" w:eastAsia="Times New Roman" w:hAnsi="Trebuchet MS"/>
              </w:rPr>
              <w:t>Atpažįsta ir išvardija keletą šoktų ar stebėtų šokių, palygina ir nurodo pagrindinius skirtumus ir panašumus. Aktyviai dalijasi vertinimais apie stebimą ar atliekamą šokį. Pastebi išskirtinumus (</w:t>
            </w:r>
            <w:r>
              <w:rPr>
                <w:rFonts w:ascii="Trebuchet MS" w:eastAsia="Times New Roman" w:hAnsi="Trebuchet MS"/>
                <w:i/>
                <w:iCs/>
              </w:rPr>
              <w:t>pvz., gerai pasisekė perteikti linksmą nuotaiką</w:t>
            </w:r>
            <w:r>
              <w:rPr>
                <w:rFonts w:ascii="Trebuchet MS" w:eastAsia="Times New Roman" w:hAnsi="Trebuchet MS"/>
              </w:rPr>
              <w:t>) ir juos pagrindžia (</w:t>
            </w:r>
            <w:r>
              <w:rPr>
                <w:rFonts w:ascii="Trebuchet MS" w:eastAsia="Times New Roman" w:hAnsi="Trebuchet MS"/>
                <w:i/>
                <w:iCs/>
              </w:rPr>
              <w:t>pvz., ... nes buvo daug šuoliukų, sukinių</w:t>
            </w:r>
            <w:r>
              <w:rPr>
                <w:rFonts w:ascii="Trebuchet MS" w:eastAsia="Times New Roman" w:hAnsi="Trebuchet MS"/>
              </w:rPr>
              <w:t>). Savarankiškai laikosi žiūrovo elgesio taisyklių.</w:t>
            </w:r>
          </w:p>
        </w:tc>
      </w:tr>
      <w:tr w:rsidR="00000000">
        <w:trPr>
          <w:divId w:val="1603801914"/>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44547970"/>
              <w:rPr>
                <w:rFonts w:ascii="Trebuchet MS" w:eastAsia="Times New Roman" w:hAnsi="Trebuchet MS"/>
              </w:rPr>
            </w:pPr>
            <w:r>
              <w:rPr>
                <w:rFonts w:ascii="Trebuchet MS" w:eastAsia="Times New Roman" w:hAnsi="Trebuchet MS"/>
                <w:b/>
                <w:bCs/>
              </w:rPr>
              <w:t>Šokio ryšių su socialiniu kultūriniu gyvenimu pažinimas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93737245"/>
              <w:rPr>
                <w:rFonts w:ascii="Trebuchet MS" w:eastAsia="Times New Roman" w:hAnsi="Trebuchet MS"/>
              </w:rPr>
            </w:pPr>
            <w:r>
              <w:rPr>
                <w:rFonts w:ascii="Trebuchet MS" w:eastAsia="Times New Roman" w:hAnsi="Trebuchet MS"/>
              </w:rPr>
              <w:t>Nurodo vieną iš šeimos, klasės ar mokyklos šokio tradicijų, tačiau nesidomi jomis ir vangiai jose dalyvauja. Negali pasirinkti šokio veiklos, kuri patinka ar gerai sekasi. Negali nusakyti, ką reiktų pakeisti, kad veikla pasisektų.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79857187"/>
              <w:rPr>
                <w:rFonts w:ascii="Trebuchet MS" w:eastAsia="Times New Roman" w:hAnsi="Trebuchet MS"/>
              </w:rPr>
            </w:pPr>
            <w:r>
              <w:rPr>
                <w:rFonts w:ascii="Trebuchet MS" w:eastAsia="Times New Roman" w:hAnsi="Trebuchet MS"/>
              </w:rPr>
              <w:t>Nusako šeimos, klasės ar mokyklos šokio tradicijas, nurodo 1–2 tradicines ar kalendorines tautos šventes, jų žaidimus, ratelius, šokius. Dalyvauja klasės, mokyklos šventėse, renginiuose. Pasirenka šokio veiklą, kuri labiausiai patinka. Padedant mokytojui nusako, ką reiktų pakeisti, kad veikla pasisektų.</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75357117"/>
              <w:rPr>
                <w:rFonts w:ascii="Trebuchet MS" w:eastAsia="Times New Roman" w:hAnsi="Trebuchet MS"/>
              </w:rPr>
            </w:pPr>
            <w:r>
              <w:rPr>
                <w:rFonts w:ascii="Trebuchet MS" w:eastAsia="Times New Roman" w:hAnsi="Trebuchet MS"/>
              </w:rPr>
              <w:t>Nusako šeimos, klasės ar mokyklos šokio tradicijas, nurodo ir palygina keletą tradicinių ar kalendorinių tautos švenčių bei jų žaidimų, ratelių, šokių. Aktyviai dalyvauja klasės, mokyklos renginiuose. Padeda kitiems siūlydamas sumanymų įgyvendinimo variantus. Pasirenka šokio veiklą, kuri geriausiai sekasi ar patinka, aktyviai dalyvauja ir kitose veiklose. Savarankiškai nusako, ką reiktų pakeisti, kad veikla pasisektų.</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6926">
      <w:marLeft w:val="0"/>
      <w:marRight w:val="0"/>
      <w:marTop w:val="0"/>
      <w:marBottom w:val="0"/>
      <w:divBdr>
        <w:top w:val="none" w:sz="0" w:space="0" w:color="auto"/>
        <w:left w:val="none" w:sz="0" w:space="0" w:color="auto"/>
        <w:bottom w:val="none" w:sz="0" w:space="0" w:color="auto"/>
        <w:right w:val="none" w:sz="0" w:space="0" w:color="auto"/>
      </w:divBdr>
      <w:divsChild>
        <w:div w:id="2044668282">
          <w:marLeft w:val="0"/>
          <w:marRight w:val="0"/>
          <w:marTop w:val="0"/>
          <w:marBottom w:val="0"/>
          <w:divBdr>
            <w:top w:val="none" w:sz="0" w:space="0" w:color="auto"/>
            <w:left w:val="none" w:sz="0" w:space="0" w:color="auto"/>
            <w:bottom w:val="none" w:sz="0" w:space="0" w:color="auto"/>
            <w:right w:val="none" w:sz="0" w:space="0" w:color="auto"/>
          </w:divBdr>
        </w:div>
        <w:div w:id="905645545">
          <w:marLeft w:val="0"/>
          <w:marRight w:val="0"/>
          <w:marTop w:val="0"/>
          <w:marBottom w:val="0"/>
          <w:divBdr>
            <w:top w:val="none" w:sz="0" w:space="0" w:color="auto"/>
            <w:left w:val="none" w:sz="0" w:space="0" w:color="auto"/>
            <w:bottom w:val="none" w:sz="0" w:space="0" w:color="auto"/>
            <w:right w:val="none" w:sz="0" w:space="0" w:color="auto"/>
          </w:divBdr>
        </w:div>
        <w:div w:id="516846151">
          <w:marLeft w:val="0"/>
          <w:marRight w:val="0"/>
          <w:marTop w:val="0"/>
          <w:marBottom w:val="0"/>
          <w:divBdr>
            <w:top w:val="none" w:sz="0" w:space="0" w:color="auto"/>
            <w:left w:val="none" w:sz="0" w:space="0" w:color="auto"/>
            <w:bottom w:val="none" w:sz="0" w:space="0" w:color="auto"/>
            <w:right w:val="none" w:sz="0" w:space="0" w:color="auto"/>
          </w:divBdr>
        </w:div>
        <w:div w:id="724640014">
          <w:marLeft w:val="0"/>
          <w:marRight w:val="0"/>
          <w:marTop w:val="0"/>
          <w:marBottom w:val="0"/>
          <w:divBdr>
            <w:top w:val="none" w:sz="0" w:space="0" w:color="auto"/>
            <w:left w:val="none" w:sz="0" w:space="0" w:color="auto"/>
            <w:bottom w:val="none" w:sz="0" w:space="0" w:color="auto"/>
            <w:right w:val="none" w:sz="0" w:space="0" w:color="auto"/>
          </w:divBdr>
        </w:div>
        <w:div w:id="570778530">
          <w:marLeft w:val="0"/>
          <w:marRight w:val="0"/>
          <w:marTop w:val="0"/>
          <w:marBottom w:val="0"/>
          <w:divBdr>
            <w:top w:val="none" w:sz="0" w:space="0" w:color="auto"/>
            <w:left w:val="none" w:sz="0" w:space="0" w:color="auto"/>
            <w:bottom w:val="none" w:sz="0" w:space="0" w:color="auto"/>
            <w:right w:val="none" w:sz="0" w:space="0" w:color="auto"/>
          </w:divBdr>
        </w:div>
        <w:div w:id="1643189717">
          <w:marLeft w:val="0"/>
          <w:marRight w:val="0"/>
          <w:marTop w:val="0"/>
          <w:marBottom w:val="0"/>
          <w:divBdr>
            <w:top w:val="none" w:sz="0" w:space="0" w:color="auto"/>
            <w:left w:val="none" w:sz="0" w:space="0" w:color="auto"/>
            <w:bottom w:val="none" w:sz="0" w:space="0" w:color="auto"/>
            <w:right w:val="none" w:sz="0" w:space="0" w:color="auto"/>
          </w:divBdr>
        </w:div>
      </w:divsChild>
    </w:div>
    <w:div w:id="1603801914">
      <w:marLeft w:val="0"/>
      <w:marRight w:val="0"/>
      <w:marTop w:val="0"/>
      <w:marBottom w:val="0"/>
      <w:divBdr>
        <w:top w:val="none" w:sz="0" w:space="0" w:color="auto"/>
        <w:left w:val="none" w:sz="0" w:space="0" w:color="auto"/>
        <w:bottom w:val="none" w:sz="0" w:space="0" w:color="auto"/>
        <w:right w:val="none" w:sz="0" w:space="0" w:color="auto"/>
      </w:divBdr>
      <w:divsChild>
        <w:div w:id="1574392767">
          <w:marLeft w:val="0"/>
          <w:marRight w:val="0"/>
          <w:marTop w:val="0"/>
          <w:marBottom w:val="0"/>
          <w:divBdr>
            <w:top w:val="none" w:sz="0" w:space="0" w:color="auto"/>
            <w:left w:val="none" w:sz="0" w:space="0" w:color="auto"/>
            <w:bottom w:val="none" w:sz="0" w:space="0" w:color="auto"/>
            <w:right w:val="none" w:sz="0" w:space="0" w:color="auto"/>
          </w:divBdr>
        </w:div>
        <w:div w:id="1863519820">
          <w:marLeft w:val="0"/>
          <w:marRight w:val="0"/>
          <w:marTop w:val="0"/>
          <w:marBottom w:val="0"/>
          <w:divBdr>
            <w:top w:val="none" w:sz="0" w:space="0" w:color="auto"/>
            <w:left w:val="none" w:sz="0" w:space="0" w:color="auto"/>
            <w:bottom w:val="none" w:sz="0" w:space="0" w:color="auto"/>
            <w:right w:val="none" w:sz="0" w:space="0" w:color="auto"/>
          </w:divBdr>
        </w:div>
        <w:div w:id="397024231">
          <w:marLeft w:val="0"/>
          <w:marRight w:val="0"/>
          <w:marTop w:val="0"/>
          <w:marBottom w:val="0"/>
          <w:divBdr>
            <w:top w:val="none" w:sz="0" w:space="0" w:color="auto"/>
            <w:left w:val="none" w:sz="0" w:space="0" w:color="auto"/>
            <w:bottom w:val="none" w:sz="0" w:space="0" w:color="auto"/>
            <w:right w:val="none" w:sz="0" w:space="0" w:color="auto"/>
          </w:divBdr>
        </w:div>
        <w:div w:id="190729953">
          <w:marLeft w:val="0"/>
          <w:marRight w:val="0"/>
          <w:marTop w:val="0"/>
          <w:marBottom w:val="0"/>
          <w:divBdr>
            <w:top w:val="none" w:sz="0" w:space="0" w:color="auto"/>
            <w:left w:val="none" w:sz="0" w:space="0" w:color="auto"/>
            <w:bottom w:val="none" w:sz="0" w:space="0" w:color="auto"/>
            <w:right w:val="none" w:sz="0" w:space="0" w:color="auto"/>
          </w:divBdr>
        </w:div>
        <w:div w:id="759370812">
          <w:marLeft w:val="0"/>
          <w:marRight w:val="0"/>
          <w:marTop w:val="0"/>
          <w:marBottom w:val="0"/>
          <w:divBdr>
            <w:top w:val="none" w:sz="0" w:space="0" w:color="auto"/>
            <w:left w:val="none" w:sz="0" w:space="0" w:color="auto"/>
            <w:bottom w:val="none" w:sz="0" w:space="0" w:color="auto"/>
            <w:right w:val="none" w:sz="0" w:space="0" w:color="auto"/>
          </w:divBdr>
        </w:div>
        <w:div w:id="1310211821">
          <w:marLeft w:val="0"/>
          <w:marRight w:val="0"/>
          <w:marTop w:val="0"/>
          <w:marBottom w:val="0"/>
          <w:divBdr>
            <w:top w:val="none" w:sz="0" w:space="0" w:color="auto"/>
            <w:left w:val="none" w:sz="0" w:space="0" w:color="auto"/>
            <w:bottom w:val="none" w:sz="0" w:space="0" w:color="auto"/>
            <w:right w:val="none" w:sz="0" w:space="0" w:color="auto"/>
          </w:divBdr>
        </w:div>
        <w:div w:id="819856412">
          <w:marLeft w:val="0"/>
          <w:marRight w:val="0"/>
          <w:marTop w:val="0"/>
          <w:marBottom w:val="0"/>
          <w:divBdr>
            <w:top w:val="none" w:sz="0" w:space="0" w:color="auto"/>
            <w:left w:val="none" w:sz="0" w:space="0" w:color="auto"/>
            <w:bottom w:val="none" w:sz="0" w:space="0" w:color="auto"/>
            <w:right w:val="none" w:sz="0" w:space="0" w:color="auto"/>
          </w:divBdr>
        </w:div>
        <w:div w:id="1106390251">
          <w:marLeft w:val="0"/>
          <w:marRight w:val="0"/>
          <w:marTop w:val="0"/>
          <w:marBottom w:val="0"/>
          <w:divBdr>
            <w:top w:val="none" w:sz="0" w:space="0" w:color="auto"/>
            <w:left w:val="none" w:sz="0" w:space="0" w:color="auto"/>
            <w:bottom w:val="none" w:sz="0" w:space="0" w:color="auto"/>
            <w:right w:val="none" w:sz="0" w:space="0" w:color="auto"/>
          </w:divBdr>
        </w:div>
        <w:div w:id="1059092922">
          <w:marLeft w:val="0"/>
          <w:marRight w:val="0"/>
          <w:marTop w:val="0"/>
          <w:marBottom w:val="0"/>
          <w:divBdr>
            <w:top w:val="none" w:sz="0" w:space="0" w:color="auto"/>
            <w:left w:val="none" w:sz="0" w:space="0" w:color="auto"/>
            <w:bottom w:val="none" w:sz="0" w:space="0" w:color="auto"/>
            <w:right w:val="none" w:sz="0" w:space="0" w:color="auto"/>
          </w:divBdr>
        </w:div>
        <w:div w:id="174810404">
          <w:marLeft w:val="0"/>
          <w:marRight w:val="0"/>
          <w:marTop w:val="0"/>
          <w:marBottom w:val="0"/>
          <w:divBdr>
            <w:top w:val="none" w:sz="0" w:space="0" w:color="auto"/>
            <w:left w:val="none" w:sz="0" w:space="0" w:color="auto"/>
            <w:bottom w:val="none" w:sz="0" w:space="0" w:color="auto"/>
            <w:right w:val="none" w:sz="0" w:space="0" w:color="auto"/>
          </w:divBdr>
        </w:div>
        <w:div w:id="747463918">
          <w:marLeft w:val="0"/>
          <w:marRight w:val="0"/>
          <w:marTop w:val="0"/>
          <w:marBottom w:val="0"/>
          <w:divBdr>
            <w:top w:val="none" w:sz="0" w:space="0" w:color="auto"/>
            <w:left w:val="none" w:sz="0" w:space="0" w:color="auto"/>
            <w:bottom w:val="none" w:sz="0" w:space="0" w:color="auto"/>
            <w:right w:val="none" w:sz="0" w:space="0" w:color="auto"/>
          </w:divBdr>
        </w:div>
        <w:div w:id="811025635">
          <w:marLeft w:val="0"/>
          <w:marRight w:val="0"/>
          <w:marTop w:val="0"/>
          <w:marBottom w:val="0"/>
          <w:divBdr>
            <w:top w:val="none" w:sz="0" w:space="0" w:color="auto"/>
            <w:left w:val="none" w:sz="0" w:space="0" w:color="auto"/>
            <w:bottom w:val="none" w:sz="0" w:space="0" w:color="auto"/>
            <w:right w:val="none" w:sz="0" w:space="0" w:color="auto"/>
          </w:divBdr>
        </w:div>
        <w:div w:id="1144547970">
          <w:marLeft w:val="0"/>
          <w:marRight w:val="0"/>
          <w:marTop w:val="0"/>
          <w:marBottom w:val="0"/>
          <w:divBdr>
            <w:top w:val="none" w:sz="0" w:space="0" w:color="auto"/>
            <w:left w:val="none" w:sz="0" w:space="0" w:color="auto"/>
            <w:bottom w:val="none" w:sz="0" w:space="0" w:color="auto"/>
            <w:right w:val="none" w:sz="0" w:space="0" w:color="auto"/>
          </w:divBdr>
        </w:div>
        <w:div w:id="893737245">
          <w:marLeft w:val="0"/>
          <w:marRight w:val="0"/>
          <w:marTop w:val="0"/>
          <w:marBottom w:val="0"/>
          <w:divBdr>
            <w:top w:val="none" w:sz="0" w:space="0" w:color="auto"/>
            <w:left w:val="none" w:sz="0" w:space="0" w:color="auto"/>
            <w:bottom w:val="none" w:sz="0" w:space="0" w:color="auto"/>
            <w:right w:val="none" w:sz="0" w:space="0" w:color="auto"/>
          </w:divBdr>
        </w:div>
        <w:div w:id="1179857187">
          <w:marLeft w:val="0"/>
          <w:marRight w:val="0"/>
          <w:marTop w:val="0"/>
          <w:marBottom w:val="0"/>
          <w:divBdr>
            <w:top w:val="none" w:sz="0" w:space="0" w:color="auto"/>
            <w:left w:val="none" w:sz="0" w:space="0" w:color="auto"/>
            <w:bottom w:val="none" w:sz="0" w:space="0" w:color="auto"/>
            <w:right w:val="none" w:sz="0" w:space="0" w:color="auto"/>
          </w:divBdr>
        </w:div>
        <w:div w:id="3753571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1DCCE-5C13-4F77-A722-E1E89357D180}"/>
</file>

<file path=customXml/itemProps2.xml><?xml version="1.0" encoding="utf-8"?>
<ds:datastoreItem xmlns:ds="http://schemas.openxmlformats.org/officeDocument/2006/customXml" ds:itemID="{7F8FB2E7-FDC7-414C-B833-A7E86D446035}"/>
</file>

<file path=customXml/itemProps3.xml><?xml version="1.0" encoding="utf-8"?>
<ds:datastoreItem xmlns:ds="http://schemas.openxmlformats.org/officeDocument/2006/customXml" ds:itemID="{DAD375EF-E08C-417A-9221-1B6222F8F6DF}"/>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2011-08-31T09:10:00Z</cp:lastPrinted>
  <dcterms:created xsi:type="dcterms:W3CDTF">2011-08-31T09:10:00Z</dcterms:created>
  <dcterms:modified xsi:type="dcterms:W3CDTF">2011-08-31T09:10:00Z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