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Dailė</w:t>
      </w:r>
      <w:r>
        <w:rPr>
          <w:rFonts w:ascii="Trebuchet MS" w:eastAsia="Times New Roman" w:hAnsi="Trebuchet MS"/>
        </w:rPr>
        <w:br/>
        <w:t>3-4 klasės</w:t>
      </w:r>
    </w:p>
    <w:p w:rsidR="00000000" w:rsidRDefault="00000000">
      <w:pPr>
        <w:divId w:val="638073065"/>
        <w:rPr>
          <w:rFonts w:ascii="Trebuchet MS" w:eastAsia="Times New Roman" w:hAnsi="Trebuchet MS"/>
        </w:rPr>
      </w:pPr>
      <w:r>
        <w:rPr>
          <w:rFonts w:ascii="Trebuchet MS" w:eastAsia="Times New Roman" w:hAnsi="Trebuchet MS"/>
          <w:b/>
          <w:bCs/>
        </w:rPr>
        <w:t>23.7.3. Vertinimas</w:t>
      </w:r>
    </w:p>
    <w:p w:rsidR="00000000" w:rsidRDefault="00000000">
      <w:pPr>
        <w:divId w:val="1825587250"/>
        <w:rPr>
          <w:rFonts w:ascii="Trebuchet MS" w:eastAsia="Times New Roman" w:hAnsi="Trebuchet MS"/>
        </w:rPr>
      </w:pPr>
      <w:r>
        <w:rPr>
          <w:rFonts w:ascii="Trebuchet MS" w:eastAsia="Times New Roman" w:hAnsi="Trebuchet MS"/>
        </w:rPr>
        <w:t> </w:t>
      </w:r>
    </w:p>
    <w:p w:rsidR="00000000" w:rsidRDefault="00000000">
      <w:pPr>
        <w:divId w:val="1249197464"/>
        <w:rPr>
          <w:rFonts w:ascii="Trebuchet MS" w:eastAsia="Times New Roman" w:hAnsi="Trebuchet MS"/>
        </w:rPr>
      </w:pPr>
      <w:r>
        <w:rPr>
          <w:rFonts w:ascii="Trebuchet MS" w:eastAsia="Times New Roman" w:hAnsi="Trebuchet MS"/>
          <w:b/>
          <w:bCs/>
        </w:rPr>
        <w:t xml:space="preserve">23.7.3.1. </w:t>
      </w:r>
      <w:r>
        <w:rPr>
          <w:rFonts w:ascii="Trebuchet MS" w:eastAsia="Times New Roman" w:hAnsi="Trebuchet MS"/>
        </w:rPr>
        <w:t>Lentelėje pateikiamas kiekvienos veiklos srities trijų lygių mokinių pasiekimų aprašas. Nurodomi pasiekimų lygių požymiai padės mokytojui įvertinti mokinių pasiekimus ir daromą pažangą. Pasiekimų aprašas padės mokytojui spręsti, kiek vaikas jau yra pasiekęs ir ko jis dar turėtų siekti. Remiantis nurodytais pasiekimų lygių požymiais galima ir spręsti apie tarpinius pasiekimus, ir daryti apibendrinamuosius vertinimo aprašus pusmečio, metų pabaigoje ar baigiant ketvirtąją klasę. Dailės pasiekimų aprašas sudarytas atsižvelgiant į 3–4 klasės vaikų amžiaus tarpsnio ypatumus, tačiau būtina taikyti ir diferencijuotus reikalavimus, atsižvelgiant į individualias kiekvieno mokinio galimybes. Nuostatų raiškos vertinimas integruojamas į visų trijų lygių pasiekimų aprašą.</w:t>
      </w:r>
    </w:p>
    <w:p w:rsidR="00000000" w:rsidRDefault="00000000">
      <w:pPr>
        <w:divId w:val="125971444"/>
        <w:rPr>
          <w:rFonts w:ascii="Trebuchet MS" w:eastAsia="Times New Roman" w:hAnsi="Trebuchet MS"/>
        </w:rPr>
      </w:pPr>
      <w:r>
        <w:rPr>
          <w:rFonts w:ascii="Trebuchet MS" w:eastAsia="Times New Roman" w:hAnsi="Trebuchet MS"/>
        </w:rPr>
        <w:t> </w:t>
      </w:r>
    </w:p>
    <w:p w:rsidR="00000000" w:rsidRDefault="00000000">
      <w:pPr>
        <w:divId w:val="1263413671"/>
        <w:rPr>
          <w:rFonts w:ascii="Trebuchet MS" w:eastAsia="Times New Roman" w:hAnsi="Trebuchet MS"/>
        </w:rPr>
      </w:pPr>
      <w:r>
        <w:rPr>
          <w:rFonts w:ascii="Trebuchet MS" w:eastAsia="Times New Roman" w:hAnsi="Trebuchet MS"/>
          <w:b/>
          <w:bCs/>
        </w:rPr>
        <w:t>23.7.3.2. Mokinių pasiekimų lygių požymiai. 3–4 klasės</w:t>
      </w:r>
      <w:r>
        <w:rPr>
          <w:rFonts w:ascii="Trebuchet MS" w:eastAsia="Times New Roman" w:hAnsi="Trebuchet MS"/>
        </w:rPr>
        <w:t xml:space="preserve"> </w:t>
      </w:r>
    </w:p>
    <w:p w:rsidR="00000000" w:rsidRDefault="00000000">
      <w:pPr>
        <w:divId w:val="2083137010"/>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2088"/>
        <w:gridCol w:w="2300"/>
        <w:gridCol w:w="2822"/>
        <w:gridCol w:w="2822"/>
      </w:tblGrid>
      <w:tr w:rsidR="00000000">
        <w:trPr>
          <w:divId w:val="107212219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divId w:val="1456754150"/>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22043204"/>
              <w:rPr>
                <w:rFonts w:ascii="Trebuchet MS" w:eastAsia="Times New Roman" w:hAnsi="Trebuchet MS"/>
              </w:rPr>
            </w:pPr>
            <w:r>
              <w:rPr>
                <w:rFonts w:ascii="Trebuchet MS" w:eastAsia="Times New Roman" w:hAnsi="Trebuchet MS"/>
              </w:rPr>
              <w:t> </w:t>
            </w: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257010349"/>
              <w:rPr>
                <w:rFonts w:ascii="Trebuchet MS" w:eastAsia="Times New Roman" w:hAnsi="Trebuchet MS"/>
              </w:rPr>
            </w:pPr>
            <w:r>
              <w:rPr>
                <w:rFonts w:ascii="Trebuchet MS" w:eastAsia="Times New Roman" w:hAnsi="Trebuchet MS"/>
              </w:rPr>
              <w:t> </w:t>
            </w: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770856112"/>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rPr>
          <w:divId w:val="107212219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9109269"/>
              <w:rPr>
                <w:rFonts w:ascii="Trebuchet MS" w:eastAsia="Times New Roman" w:hAnsi="Trebuchet MS"/>
              </w:rPr>
            </w:pPr>
            <w:r>
              <w:rPr>
                <w:rFonts w:ascii="Trebuchet MS" w:eastAsia="Times New Roman" w:hAnsi="Trebuchet MS"/>
                <w:b/>
                <w:bCs/>
              </w:rPr>
              <w:t>Dailės raiška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79338758"/>
              <w:rPr>
                <w:rFonts w:ascii="Trebuchet MS" w:eastAsia="Times New Roman" w:hAnsi="Trebuchet MS"/>
              </w:rPr>
            </w:pPr>
            <w:r>
              <w:rPr>
                <w:rFonts w:ascii="Trebuchet MS" w:eastAsia="Times New Roman" w:hAnsi="Trebuchet MS"/>
              </w:rPr>
              <w:t>Spontaniškai atlieka mokytojo nurodytas užduotis, saugiai taiko mokytojo pasiūlytas dailės technikas ir medžiagų jungimo būdus (</w:t>
            </w:r>
            <w:r>
              <w:rPr>
                <w:rFonts w:ascii="Trebuchet MS" w:eastAsia="Times New Roman" w:hAnsi="Trebuchet MS"/>
                <w:i/>
                <w:iCs/>
              </w:rPr>
              <w:t>segimą, klijavimą</w:t>
            </w:r>
            <w:r>
              <w:rPr>
                <w:rFonts w:ascii="Trebuchet MS" w:eastAsia="Times New Roman" w:hAnsi="Trebuchet MS"/>
              </w:rPr>
              <w:t>).</w:t>
            </w:r>
          </w:p>
          <w:p w:rsidR="00000000" w:rsidRDefault="00000000">
            <w:pPr>
              <w:divId w:val="642735515"/>
              <w:rPr>
                <w:rFonts w:ascii="Trebuchet MS" w:eastAsia="Times New Roman" w:hAnsi="Trebuchet MS"/>
              </w:rPr>
            </w:pPr>
            <w:r>
              <w:rPr>
                <w:rFonts w:ascii="Trebuchet MS" w:eastAsia="Times New Roman" w:hAnsi="Trebuchet MS"/>
              </w:rPr>
              <w:t>Mokytojui padedant pasirenka kūrinėlio temą. Baigęs darbą užrašo metriką: vardą, pavardę, klasę, padeda mokytojui pakabinti ir išdėlioti darbelius.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79707379"/>
              <w:rPr>
                <w:rFonts w:ascii="Trebuchet MS" w:eastAsia="Times New Roman" w:hAnsi="Trebuchet MS"/>
              </w:rPr>
            </w:pPr>
            <w:r>
              <w:rPr>
                <w:rFonts w:ascii="Trebuchet MS" w:eastAsia="Times New Roman" w:hAnsi="Trebuchet MS"/>
              </w:rPr>
              <w:t>Savitai perteikia aplinkos daiktų ir gamtos reiškinių savybes, ieško vaizduojamo objekto ir fono jungčių. Kūrybiškai taiko pagrindines dailės technikas ir medžiagų jungimo būdus. Toliau ir arčiau esančius, vienas kitą užstojančius objektus vaizduoja skirtingais dydžiais, ieško kūrinio pusiausvyros.</w:t>
            </w:r>
          </w:p>
          <w:p w:rsidR="00000000" w:rsidRDefault="00000000">
            <w:pPr>
              <w:divId w:val="744835649"/>
              <w:rPr>
                <w:rFonts w:ascii="Trebuchet MS" w:eastAsia="Times New Roman" w:hAnsi="Trebuchet MS"/>
              </w:rPr>
            </w:pPr>
            <w:r>
              <w:rPr>
                <w:rFonts w:ascii="Trebuchet MS" w:eastAsia="Times New Roman" w:hAnsi="Trebuchet MS"/>
              </w:rPr>
              <w:t>Savo kūrybinius sumanymus skiria pasirinktai temai ar progai, pasiūlo atlikimo techniką. Baigęs darbą užrašo kūrinio metriką: vardą, pavardę, klasę, sukūrimo datą, pavadinimą, padeda mokytojui pakabinti ar išdėlioti darbelius. Atlieka pasirinktą vaidmenį meno akcijose, integruotos veiklos projektuose.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52823128"/>
              <w:rPr>
                <w:rFonts w:ascii="Trebuchet MS" w:eastAsia="Times New Roman" w:hAnsi="Trebuchet MS"/>
              </w:rPr>
            </w:pPr>
            <w:r>
              <w:rPr>
                <w:rFonts w:ascii="Trebuchet MS" w:eastAsia="Times New Roman" w:hAnsi="Trebuchet MS"/>
              </w:rPr>
              <w:t>Rodo iniciatyvą siūlydamas kūrinių temas ir kūrybines idėjas. Drąsiai vaizduoja aplinkos daiktų ir gamtos reiškinių savybes, derina objektą su fonu. Savarankiškai pasirenka ir kūrybiškai taiko pagrindines dailės technikas ir medžiagų jungimo būdus. Pavaizduoja toliau ir arčiau esančius, vienas kitą užstojančius objektus, ieško jų pusiausvyros.</w:t>
            </w:r>
          </w:p>
          <w:p w:rsidR="00000000" w:rsidRDefault="00000000">
            <w:pPr>
              <w:divId w:val="1775443731"/>
              <w:rPr>
                <w:rFonts w:ascii="Trebuchet MS" w:eastAsia="Times New Roman" w:hAnsi="Trebuchet MS"/>
              </w:rPr>
            </w:pPr>
            <w:r>
              <w:rPr>
                <w:rFonts w:ascii="Trebuchet MS" w:eastAsia="Times New Roman" w:hAnsi="Trebuchet MS"/>
              </w:rPr>
              <w:t>Pasiūlo originalių kūrybinių sprendimų, juos skiria pasirinktai temai ar progai, pasirenka atlikimo techniką. Baigęs darbą savarankiškai užrašo kūrinio metriką: vardą, pavardę, klasę, sukūrimo datą, darbo pavadinimą, atlikimo techniką. Padeda mokytojui rengti parodėlę, nupiešia skelbimą. Atlieka pasirinktą vaidmenį meno akcijose, integruotos veiklos projektuose.</w:t>
            </w:r>
          </w:p>
        </w:tc>
      </w:tr>
      <w:tr w:rsidR="00000000">
        <w:trPr>
          <w:divId w:val="107212219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10821934"/>
              <w:rPr>
                <w:rFonts w:ascii="Trebuchet MS" w:eastAsia="Times New Roman" w:hAnsi="Trebuchet MS"/>
              </w:rPr>
            </w:pPr>
            <w:r>
              <w:rPr>
                <w:rFonts w:ascii="Trebuchet MS" w:eastAsia="Times New Roman" w:hAnsi="Trebuchet MS"/>
                <w:b/>
                <w:bCs/>
              </w:rPr>
              <w:t>Dailės raiškos ir dailės kūrinių stebėjimas, interpretavimas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12023014"/>
              <w:rPr>
                <w:rFonts w:ascii="Trebuchet MS" w:eastAsia="Times New Roman" w:hAnsi="Trebuchet MS"/>
              </w:rPr>
            </w:pPr>
            <w:r>
              <w:rPr>
                <w:rFonts w:ascii="Trebuchet MS" w:eastAsia="Times New Roman" w:hAnsi="Trebuchet MS"/>
              </w:rPr>
              <w:t>Žiūri mokytojo pasiūlytus dailės kūrinius, gamtos ir žmogaus sukurtus objektus ir savais žodžiais apibūdina jų skirtumus.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95990009"/>
              <w:rPr>
                <w:rFonts w:ascii="Trebuchet MS" w:eastAsia="Times New Roman" w:hAnsi="Trebuchet MS"/>
              </w:rPr>
            </w:pPr>
            <w:r>
              <w:rPr>
                <w:rFonts w:ascii="Trebuchet MS" w:eastAsia="Times New Roman" w:hAnsi="Trebuchet MS"/>
              </w:rPr>
              <w:t>Savais žodžiais apibūdina savo, draugų ir dailininkų kūrinių spalvų nuotaiką, linijų, dėmių ir erdvinių formų įvairovę ir susieja su atlikimo technika. Aptaria dailės kūrinių skirtumus. Pastebi gamtos ir žmogaus sukurtos aplinkos estetines savybes (</w:t>
            </w:r>
            <w:r>
              <w:rPr>
                <w:rFonts w:ascii="Trebuchet MS" w:eastAsia="Times New Roman" w:hAnsi="Trebuchet MS"/>
                <w:i/>
                <w:iCs/>
              </w:rPr>
              <w:t>spalvų nuotaiką, linijų ritmą ir pan.</w:t>
            </w:r>
            <w:r>
              <w:rPr>
                <w:rFonts w:ascii="Trebuchet MS" w:eastAsia="Times New Roman" w:hAnsi="Trebuchet MS"/>
              </w:rPr>
              <w:t>) ir išraiškingumą.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15614086"/>
              <w:rPr>
                <w:rFonts w:ascii="Trebuchet MS" w:eastAsia="Times New Roman" w:hAnsi="Trebuchet MS"/>
              </w:rPr>
            </w:pPr>
            <w:r>
              <w:rPr>
                <w:rFonts w:ascii="Trebuchet MS" w:eastAsia="Times New Roman" w:hAnsi="Trebuchet MS"/>
              </w:rPr>
              <w:t>Vartodamas paprastas dailės sąvokas apibūdina savo, draugų ir dailininkų kūrinių spalvų nuotaiką, linijų, dėmių ir erdvinių formų įvairovę ir susieja su atlikimo technika. Aptaria dailės šakų (</w:t>
            </w:r>
            <w:r>
              <w:rPr>
                <w:rFonts w:ascii="Trebuchet MS" w:eastAsia="Times New Roman" w:hAnsi="Trebuchet MS"/>
                <w:i/>
                <w:iCs/>
              </w:rPr>
              <w:t>tapybos, grafikos, skulptūros, tekstilės, keramikos ir kt.</w:t>
            </w:r>
            <w:r>
              <w:rPr>
                <w:rFonts w:ascii="Trebuchet MS" w:eastAsia="Times New Roman" w:hAnsi="Trebuchet MS"/>
              </w:rPr>
              <w:t>) skirtumus. Susidomėjęs stebi gamtos ir žmogaus sukurtos aplinkos estetines savybes (</w:t>
            </w:r>
            <w:r>
              <w:rPr>
                <w:rFonts w:ascii="Trebuchet MS" w:eastAsia="Times New Roman" w:hAnsi="Trebuchet MS"/>
                <w:i/>
                <w:iCs/>
              </w:rPr>
              <w:t>spalvų nuotaiką, linijų ritmą ir pan.</w:t>
            </w:r>
            <w:r>
              <w:rPr>
                <w:rFonts w:ascii="Trebuchet MS" w:eastAsia="Times New Roman" w:hAnsi="Trebuchet MS"/>
              </w:rPr>
              <w:t>) ir apibūdina jų išraiškingumą.</w:t>
            </w:r>
          </w:p>
        </w:tc>
      </w:tr>
      <w:tr w:rsidR="00000000">
        <w:trPr>
          <w:divId w:val="107212219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02482671"/>
              <w:rPr>
                <w:rFonts w:ascii="Trebuchet MS" w:eastAsia="Times New Roman" w:hAnsi="Trebuchet MS"/>
              </w:rPr>
            </w:pPr>
            <w:r>
              <w:rPr>
                <w:rFonts w:ascii="Trebuchet MS" w:eastAsia="Times New Roman" w:hAnsi="Trebuchet MS"/>
                <w:b/>
                <w:bCs/>
              </w:rPr>
              <w:t>Dailės reiškinių pažinimas socialinėje kultūrinėje aplinkoje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13860267"/>
              <w:rPr>
                <w:rFonts w:ascii="Trebuchet MS" w:eastAsia="Times New Roman" w:hAnsi="Trebuchet MS"/>
              </w:rPr>
            </w:pPr>
            <w:r>
              <w:rPr>
                <w:rFonts w:ascii="Trebuchet MS" w:eastAsia="Times New Roman" w:hAnsi="Trebuchet MS"/>
              </w:rPr>
              <w:t>Savais žodžiais aptaria tautodailės bruožus. Pakviestas dalyvauja kūrybinės grupės veikloje, vertindamas savo veiklą, pasako, ką atliko, aptaria indėlį į bendrą darbą.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90614459"/>
              <w:rPr>
                <w:rFonts w:ascii="Trebuchet MS" w:eastAsia="Times New Roman" w:hAnsi="Trebuchet MS"/>
              </w:rPr>
            </w:pPr>
            <w:r>
              <w:rPr>
                <w:rFonts w:ascii="Trebuchet MS" w:eastAsia="Times New Roman" w:hAnsi="Trebuchet MS"/>
              </w:rPr>
              <w:t>Palygina lietuvių, kitų tautų liaudies meno kūrinių skirtumus, savais žodžiais paaiškina simbolių reikšmes, palygina etnokultūrinius papročius. Dalyvauja kūrybinėje grupėje. Pasako pastebėjimus apie savo ir kitų veiklą, išklauso kitų nuomonę, apibūdina savo pojūčius, domisi artimiausios aplinkos dailės reiškiniais. Naują patirtį sieja su tuo, ko jau mokėsi.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86650611"/>
              <w:rPr>
                <w:rFonts w:ascii="Trebuchet MS" w:eastAsia="Times New Roman" w:hAnsi="Trebuchet MS"/>
              </w:rPr>
            </w:pPr>
            <w:r>
              <w:rPr>
                <w:rFonts w:ascii="Trebuchet MS" w:eastAsia="Times New Roman" w:hAnsi="Trebuchet MS"/>
              </w:rPr>
              <w:t>Aptaria ir palygina lietuvių, kitų tautų liaudies meno kūrinių svarbiausius bruožus ir etnokultūrinius papročius, savais žodžiais paaiškina simbolių reikšmes. Noriai dalyvauja kūrybinėje grupėje, pasisiūlo jai vadovauti. Drąsiai išsako pastebėjimus apie savo ir kitų veiklą, dailės reikšmę savo aplinkai ir žmonių gyvenimui, apibūdina savo pojūčius. Visada išklauso kitų nuomonę ir pateikia pasiūlymų. Naują kūrybinę patirtį savarankiškai sieja su tuo, ko jau mokėsi.</w:t>
            </w:r>
          </w:p>
        </w:tc>
      </w:tr>
    </w:tbl>
    <w:p w:rsidR="00000000" w:rsidRDefault="00000000">
      <w:pPr>
        <w:divId w:val="142428697"/>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444">
      <w:marLeft w:val="0"/>
      <w:marRight w:val="0"/>
      <w:marTop w:val="0"/>
      <w:marBottom w:val="0"/>
      <w:divBdr>
        <w:top w:val="none" w:sz="0" w:space="0" w:color="auto"/>
        <w:left w:val="none" w:sz="0" w:space="0" w:color="auto"/>
        <w:bottom w:val="none" w:sz="0" w:space="0" w:color="auto"/>
        <w:right w:val="none" w:sz="0" w:space="0" w:color="auto"/>
      </w:divBdr>
    </w:div>
    <w:div w:id="142428697">
      <w:marLeft w:val="0"/>
      <w:marRight w:val="0"/>
      <w:marTop w:val="0"/>
      <w:marBottom w:val="0"/>
      <w:divBdr>
        <w:top w:val="none" w:sz="0" w:space="0" w:color="auto"/>
        <w:left w:val="none" w:sz="0" w:space="0" w:color="auto"/>
        <w:bottom w:val="none" w:sz="0" w:space="0" w:color="auto"/>
        <w:right w:val="none" w:sz="0" w:space="0" w:color="auto"/>
      </w:divBdr>
    </w:div>
    <w:div w:id="638073065">
      <w:marLeft w:val="0"/>
      <w:marRight w:val="0"/>
      <w:marTop w:val="0"/>
      <w:marBottom w:val="0"/>
      <w:divBdr>
        <w:top w:val="none" w:sz="0" w:space="0" w:color="auto"/>
        <w:left w:val="none" w:sz="0" w:space="0" w:color="auto"/>
        <w:bottom w:val="none" w:sz="0" w:space="0" w:color="auto"/>
        <w:right w:val="none" w:sz="0" w:space="0" w:color="auto"/>
      </w:divBdr>
    </w:div>
    <w:div w:id="1072122195">
      <w:marLeft w:val="0"/>
      <w:marRight w:val="0"/>
      <w:marTop w:val="0"/>
      <w:marBottom w:val="0"/>
      <w:divBdr>
        <w:top w:val="none" w:sz="0" w:space="0" w:color="auto"/>
        <w:left w:val="none" w:sz="0" w:space="0" w:color="auto"/>
        <w:bottom w:val="none" w:sz="0" w:space="0" w:color="auto"/>
        <w:right w:val="none" w:sz="0" w:space="0" w:color="auto"/>
      </w:divBdr>
      <w:divsChild>
        <w:div w:id="2083137010">
          <w:marLeft w:val="0"/>
          <w:marRight w:val="0"/>
          <w:marTop w:val="0"/>
          <w:marBottom w:val="0"/>
          <w:divBdr>
            <w:top w:val="none" w:sz="0" w:space="0" w:color="auto"/>
            <w:left w:val="none" w:sz="0" w:space="0" w:color="auto"/>
            <w:bottom w:val="none" w:sz="0" w:space="0" w:color="auto"/>
            <w:right w:val="none" w:sz="0" w:space="0" w:color="auto"/>
          </w:divBdr>
        </w:div>
        <w:div w:id="1456754150">
          <w:marLeft w:val="0"/>
          <w:marRight w:val="0"/>
          <w:marTop w:val="0"/>
          <w:marBottom w:val="0"/>
          <w:divBdr>
            <w:top w:val="none" w:sz="0" w:space="0" w:color="auto"/>
            <w:left w:val="none" w:sz="0" w:space="0" w:color="auto"/>
            <w:bottom w:val="none" w:sz="0" w:space="0" w:color="auto"/>
            <w:right w:val="none" w:sz="0" w:space="0" w:color="auto"/>
          </w:divBdr>
        </w:div>
        <w:div w:id="122043204">
          <w:marLeft w:val="0"/>
          <w:marRight w:val="0"/>
          <w:marTop w:val="0"/>
          <w:marBottom w:val="0"/>
          <w:divBdr>
            <w:top w:val="none" w:sz="0" w:space="0" w:color="auto"/>
            <w:left w:val="none" w:sz="0" w:space="0" w:color="auto"/>
            <w:bottom w:val="none" w:sz="0" w:space="0" w:color="auto"/>
            <w:right w:val="none" w:sz="0" w:space="0" w:color="auto"/>
          </w:divBdr>
        </w:div>
        <w:div w:id="1257010349">
          <w:marLeft w:val="0"/>
          <w:marRight w:val="0"/>
          <w:marTop w:val="0"/>
          <w:marBottom w:val="0"/>
          <w:divBdr>
            <w:top w:val="none" w:sz="0" w:space="0" w:color="auto"/>
            <w:left w:val="none" w:sz="0" w:space="0" w:color="auto"/>
            <w:bottom w:val="none" w:sz="0" w:space="0" w:color="auto"/>
            <w:right w:val="none" w:sz="0" w:space="0" w:color="auto"/>
          </w:divBdr>
        </w:div>
        <w:div w:id="770856112">
          <w:marLeft w:val="0"/>
          <w:marRight w:val="0"/>
          <w:marTop w:val="0"/>
          <w:marBottom w:val="0"/>
          <w:divBdr>
            <w:top w:val="none" w:sz="0" w:space="0" w:color="auto"/>
            <w:left w:val="none" w:sz="0" w:space="0" w:color="auto"/>
            <w:bottom w:val="none" w:sz="0" w:space="0" w:color="auto"/>
            <w:right w:val="none" w:sz="0" w:space="0" w:color="auto"/>
          </w:divBdr>
        </w:div>
        <w:div w:id="79109269">
          <w:marLeft w:val="0"/>
          <w:marRight w:val="0"/>
          <w:marTop w:val="0"/>
          <w:marBottom w:val="0"/>
          <w:divBdr>
            <w:top w:val="none" w:sz="0" w:space="0" w:color="auto"/>
            <w:left w:val="none" w:sz="0" w:space="0" w:color="auto"/>
            <w:bottom w:val="none" w:sz="0" w:space="0" w:color="auto"/>
            <w:right w:val="none" w:sz="0" w:space="0" w:color="auto"/>
          </w:divBdr>
        </w:div>
        <w:div w:id="579338758">
          <w:marLeft w:val="0"/>
          <w:marRight w:val="0"/>
          <w:marTop w:val="0"/>
          <w:marBottom w:val="0"/>
          <w:divBdr>
            <w:top w:val="none" w:sz="0" w:space="0" w:color="auto"/>
            <w:left w:val="none" w:sz="0" w:space="0" w:color="auto"/>
            <w:bottom w:val="none" w:sz="0" w:space="0" w:color="auto"/>
            <w:right w:val="none" w:sz="0" w:space="0" w:color="auto"/>
          </w:divBdr>
        </w:div>
        <w:div w:id="642735515">
          <w:marLeft w:val="0"/>
          <w:marRight w:val="0"/>
          <w:marTop w:val="0"/>
          <w:marBottom w:val="0"/>
          <w:divBdr>
            <w:top w:val="none" w:sz="0" w:space="0" w:color="auto"/>
            <w:left w:val="none" w:sz="0" w:space="0" w:color="auto"/>
            <w:bottom w:val="none" w:sz="0" w:space="0" w:color="auto"/>
            <w:right w:val="none" w:sz="0" w:space="0" w:color="auto"/>
          </w:divBdr>
        </w:div>
        <w:div w:id="879707379">
          <w:marLeft w:val="0"/>
          <w:marRight w:val="0"/>
          <w:marTop w:val="0"/>
          <w:marBottom w:val="0"/>
          <w:divBdr>
            <w:top w:val="none" w:sz="0" w:space="0" w:color="auto"/>
            <w:left w:val="none" w:sz="0" w:space="0" w:color="auto"/>
            <w:bottom w:val="none" w:sz="0" w:space="0" w:color="auto"/>
            <w:right w:val="none" w:sz="0" w:space="0" w:color="auto"/>
          </w:divBdr>
        </w:div>
        <w:div w:id="744835649">
          <w:marLeft w:val="0"/>
          <w:marRight w:val="0"/>
          <w:marTop w:val="0"/>
          <w:marBottom w:val="0"/>
          <w:divBdr>
            <w:top w:val="none" w:sz="0" w:space="0" w:color="auto"/>
            <w:left w:val="none" w:sz="0" w:space="0" w:color="auto"/>
            <w:bottom w:val="none" w:sz="0" w:space="0" w:color="auto"/>
            <w:right w:val="none" w:sz="0" w:space="0" w:color="auto"/>
          </w:divBdr>
        </w:div>
        <w:div w:id="752823128">
          <w:marLeft w:val="0"/>
          <w:marRight w:val="0"/>
          <w:marTop w:val="0"/>
          <w:marBottom w:val="0"/>
          <w:divBdr>
            <w:top w:val="none" w:sz="0" w:space="0" w:color="auto"/>
            <w:left w:val="none" w:sz="0" w:space="0" w:color="auto"/>
            <w:bottom w:val="none" w:sz="0" w:space="0" w:color="auto"/>
            <w:right w:val="none" w:sz="0" w:space="0" w:color="auto"/>
          </w:divBdr>
        </w:div>
        <w:div w:id="1775443731">
          <w:marLeft w:val="0"/>
          <w:marRight w:val="0"/>
          <w:marTop w:val="0"/>
          <w:marBottom w:val="0"/>
          <w:divBdr>
            <w:top w:val="none" w:sz="0" w:space="0" w:color="auto"/>
            <w:left w:val="none" w:sz="0" w:space="0" w:color="auto"/>
            <w:bottom w:val="none" w:sz="0" w:space="0" w:color="auto"/>
            <w:right w:val="none" w:sz="0" w:space="0" w:color="auto"/>
          </w:divBdr>
        </w:div>
        <w:div w:id="610821934">
          <w:marLeft w:val="0"/>
          <w:marRight w:val="0"/>
          <w:marTop w:val="0"/>
          <w:marBottom w:val="0"/>
          <w:divBdr>
            <w:top w:val="none" w:sz="0" w:space="0" w:color="auto"/>
            <w:left w:val="none" w:sz="0" w:space="0" w:color="auto"/>
            <w:bottom w:val="none" w:sz="0" w:space="0" w:color="auto"/>
            <w:right w:val="none" w:sz="0" w:space="0" w:color="auto"/>
          </w:divBdr>
        </w:div>
        <w:div w:id="2012023014">
          <w:marLeft w:val="0"/>
          <w:marRight w:val="0"/>
          <w:marTop w:val="0"/>
          <w:marBottom w:val="0"/>
          <w:divBdr>
            <w:top w:val="none" w:sz="0" w:space="0" w:color="auto"/>
            <w:left w:val="none" w:sz="0" w:space="0" w:color="auto"/>
            <w:bottom w:val="none" w:sz="0" w:space="0" w:color="auto"/>
            <w:right w:val="none" w:sz="0" w:space="0" w:color="auto"/>
          </w:divBdr>
        </w:div>
        <w:div w:id="1995990009">
          <w:marLeft w:val="0"/>
          <w:marRight w:val="0"/>
          <w:marTop w:val="0"/>
          <w:marBottom w:val="0"/>
          <w:divBdr>
            <w:top w:val="none" w:sz="0" w:space="0" w:color="auto"/>
            <w:left w:val="none" w:sz="0" w:space="0" w:color="auto"/>
            <w:bottom w:val="none" w:sz="0" w:space="0" w:color="auto"/>
            <w:right w:val="none" w:sz="0" w:space="0" w:color="auto"/>
          </w:divBdr>
        </w:div>
        <w:div w:id="1715614086">
          <w:marLeft w:val="0"/>
          <w:marRight w:val="0"/>
          <w:marTop w:val="0"/>
          <w:marBottom w:val="0"/>
          <w:divBdr>
            <w:top w:val="none" w:sz="0" w:space="0" w:color="auto"/>
            <w:left w:val="none" w:sz="0" w:space="0" w:color="auto"/>
            <w:bottom w:val="none" w:sz="0" w:space="0" w:color="auto"/>
            <w:right w:val="none" w:sz="0" w:space="0" w:color="auto"/>
          </w:divBdr>
        </w:div>
        <w:div w:id="2102482671">
          <w:marLeft w:val="0"/>
          <w:marRight w:val="0"/>
          <w:marTop w:val="0"/>
          <w:marBottom w:val="0"/>
          <w:divBdr>
            <w:top w:val="none" w:sz="0" w:space="0" w:color="auto"/>
            <w:left w:val="none" w:sz="0" w:space="0" w:color="auto"/>
            <w:bottom w:val="none" w:sz="0" w:space="0" w:color="auto"/>
            <w:right w:val="none" w:sz="0" w:space="0" w:color="auto"/>
          </w:divBdr>
        </w:div>
        <w:div w:id="913860267">
          <w:marLeft w:val="0"/>
          <w:marRight w:val="0"/>
          <w:marTop w:val="0"/>
          <w:marBottom w:val="0"/>
          <w:divBdr>
            <w:top w:val="none" w:sz="0" w:space="0" w:color="auto"/>
            <w:left w:val="none" w:sz="0" w:space="0" w:color="auto"/>
            <w:bottom w:val="none" w:sz="0" w:space="0" w:color="auto"/>
            <w:right w:val="none" w:sz="0" w:space="0" w:color="auto"/>
          </w:divBdr>
        </w:div>
        <w:div w:id="1390614459">
          <w:marLeft w:val="0"/>
          <w:marRight w:val="0"/>
          <w:marTop w:val="0"/>
          <w:marBottom w:val="0"/>
          <w:divBdr>
            <w:top w:val="none" w:sz="0" w:space="0" w:color="auto"/>
            <w:left w:val="none" w:sz="0" w:space="0" w:color="auto"/>
            <w:bottom w:val="none" w:sz="0" w:space="0" w:color="auto"/>
            <w:right w:val="none" w:sz="0" w:space="0" w:color="auto"/>
          </w:divBdr>
        </w:div>
        <w:div w:id="1586650611">
          <w:marLeft w:val="0"/>
          <w:marRight w:val="0"/>
          <w:marTop w:val="0"/>
          <w:marBottom w:val="0"/>
          <w:divBdr>
            <w:top w:val="none" w:sz="0" w:space="0" w:color="auto"/>
            <w:left w:val="none" w:sz="0" w:space="0" w:color="auto"/>
            <w:bottom w:val="none" w:sz="0" w:space="0" w:color="auto"/>
            <w:right w:val="none" w:sz="0" w:space="0" w:color="auto"/>
          </w:divBdr>
        </w:div>
      </w:divsChild>
    </w:div>
    <w:div w:id="1249197464">
      <w:marLeft w:val="0"/>
      <w:marRight w:val="0"/>
      <w:marTop w:val="0"/>
      <w:marBottom w:val="0"/>
      <w:divBdr>
        <w:top w:val="none" w:sz="0" w:space="0" w:color="auto"/>
        <w:left w:val="none" w:sz="0" w:space="0" w:color="auto"/>
        <w:bottom w:val="none" w:sz="0" w:space="0" w:color="auto"/>
        <w:right w:val="none" w:sz="0" w:space="0" w:color="auto"/>
      </w:divBdr>
    </w:div>
    <w:div w:id="1263413671">
      <w:marLeft w:val="0"/>
      <w:marRight w:val="0"/>
      <w:marTop w:val="0"/>
      <w:marBottom w:val="0"/>
      <w:divBdr>
        <w:top w:val="none" w:sz="0" w:space="0" w:color="auto"/>
        <w:left w:val="none" w:sz="0" w:space="0" w:color="auto"/>
        <w:bottom w:val="none" w:sz="0" w:space="0" w:color="auto"/>
        <w:right w:val="none" w:sz="0" w:space="0" w:color="auto"/>
      </w:divBdr>
    </w:div>
    <w:div w:id="18255872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6AA36-597A-4CE4-B0AA-2D6DD12588C1}"/>
</file>

<file path=customXml/itemProps2.xml><?xml version="1.0" encoding="utf-8"?>
<ds:datastoreItem xmlns:ds="http://schemas.openxmlformats.org/officeDocument/2006/customXml" ds:itemID="{FE99A106-5DA9-4540-B4DC-D61AD624BC57}"/>
</file>

<file path=customXml/itemProps3.xml><?xml version="1.0" encoding="utf-8"?>
<ds:datastoreItem xmlns:ds="http://schemas.openxmlformats.org/officeDocument/2006/customXml" ds:itemID="{D9E50768-96C3-4489-AB54-9D928E0BAD18}"/>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2011-08-31T08:00:00Z</cp:lastPrinted>
  <dcterms:created xsi:type="dcterms:W3CDTF">2011-08-31T08:00:00Z</dcterms:created>
  <dcterms:modified xsi:type="dcterms:W3CDTF">2011-08-31T08:00:00Z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